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1"/>
        </w:rPr>
        <w:t>Field Medical Highlights — XCOPRI (cenobamate)</w:t>
      </w:r>
    </w:p>
    <w:p>
      <w:r>
        <w:rPr>
          <w:sz w:val="21"/>
        </w:rPr>
        <w:t>Date: February 9, 2026   |   From: Dana Cho, Priya Menon</w:t>
      </w:r>
    </w:p>
    <w:p>
      <w:r>
        <w:rPr>
          <w:sz w:val="21"/>
        </w:rPr>
      </w:r>
    </w:p>
    <w:p>
      <w:r>
        <w:rPr>
          <w:b/>
          <w:sz w:val="21"/>
        </w:rPr>
        <w:t>FIELD MEDICAL INSIGHTS</w:t>
      </w:r>
    </w:p>
    <w:p>
      <w:r>
        <w:rPr>
          <w:sz w:val="21"/>
        </w:rPr>
      </w:r>
    </w:p>
    <w:p>
      <w:r>
        <w:rPr>
          <w:b/>
          <w:sz w:val="21"/>
        </w:rPr>
        <w:t>Jorge Maldonado, MD, Redwood Basin Medical Group, Sacramento, CA (RSM)</w:t>
      </w:r>
    </w:p>
    <w:p>
      <w:r>
        <w:rPr>
          <w:sz w:val="21"/>
        </w:rPr>
        <w:t>&gt; Visit on January 27, approximately 20 minutes, in person at the Sacramento office.</w:t>
      </w:r>
    </w:p>
    <w:p>
      <w:r>
        <w:rPr>
          <w:sz w:val="21"/>
        </w:rPr>
        <w:t>&gt; Discussion was limited to telehealth logistics: roughly one third of follow-up visits are now virtual, and the no-show rate for those slots was described as lower than for in-person appts.</w:t>
      </w:r>
    </w:p>
    <w:p>
      <w:r>
        <w:rPr>
          <w:sz w:val="21"/>
        </w:rPr>
        <w:t>&gt; Two operational issues raised - patients cannot upload seizure diaries through the video platform, and interpreter scheduling requires 48 hours notice.</w:t>
      </w:r>
    </w:p>
    <w:p>
      <w:r>
        <w:rPr>
          <w:sz w:val="21"/>
        </w:rPr>
        <w:t>&gt; No materials requested. Next contact expected mid-March.</w:t>
      </w:r>
    </w:p>
    <w:p>
      <w:r>
        <w:rPr>
          <w:sz w:val="21"/>
        </w:rPr>
      </w:r>
    </w:p>
    <w:p>
      <w:r>
        <w:rPr>
          <w:b/>
          <w:sz w:val="21"/>
        </w:rPr>
        <w:t>Imani Okafor, MD, Smoky Ridge Medical Center, Knoxville, TN (RSM)</w:t>
      </w:r>
    </w:p>
    <w:p>
      <w:r>
        <w:rPr>
          <w:sz w:val="21"/>
        </w:rPr>
        <w:t>&gt; Fourth conversation with this prescriber since September 2025; visit on February 3, approximately 25 minutes.</w:t>
      </w:r>
    </w:p>
    <w:p>
      <w:r>
        <w:rPr>
          <w:sz w:val="21"/>
        </w:rPr>
        <w:t>&gt; Brought up post-stroke epilepsy again and said these patients do not fit neatly into any of the usual categories.</w:t>
      </w:r>
    </w:p>
    <w:p>
      <w:r>
        <w:rPr>
          <w:sz w:val="21"/>
        </w:rPr>
        <w:t>&gt; Estimated six to eight such referrals over the past twelve months, most of them age 60 or older, and noted that the stroke service sends them over without a clear pathway back.</w:t>
      </w:r>
    </w:p>
    <w:p>
      <w:r>
        <w:rPr>
          <w:sz w:val="21"/>
        </w:rPr>
        <w:t>&gt; No materials were requested and no product claims were made during the discussion.</w:t>
      </w:r>
    </w:p>
    <w:p>
      <w:r>
        <w:rPr>
          <w:sz w:val="21"/>
        </w:rPr>
      </w:r>
    </w:p>
    <w:p>
      <w:r>
        <w:rPr>
          <w:b/>
          <w:sz w:val="21"/>
        </w:rPr>
        <w:t>Robert Enloe, MD, High Desert Neurology, Boise, ID (AR)</w:t>
      </w:r>
    </w:p>
    <w:p>
      <w:r>
        <w:rPr>
          <w:sz w:val="21"/>
        </w:rPr>
        <w:t>&gt; Visit on February 4, approximately 15 minutes, at the Boise office.</w:t>
      </w:r>
    </w:p>
    <w:p>
      <w:r>
        <w:rPr>
          <w:sz w:val="21"/>
        </w:rPr>
        <w:t>&gt; Topic was adminstrative burden only. Estimated that prior authorization paperwork consumes four to six hours of staff time per week across the practice, up from two to three hours in 2024.</w:t>
      </w:r>
    </w:p>
    <w:p>
      <w:r>
        <w:rPr>
          <w:sz w:val="21"/>
        </w:rPr>
        <w:t>&gt; One staff member now handles appeals part time. Described the payer portals as inconsistent, with three different formats requested for the same information.</w:t>
      </w:r>
    </w:p>
    <w:p>
      <w:r>
        <w:rPr>
          <w:sz w:val="21"/>
        </w:rPr>
        <w:t>&gt; No product specifics were discussed and nothing was requested.</w:t>
      </w:r>
    </w:p>
    <w:p>
      <w:r>
        <w:rPr>
          <w:sz w:val="21"/>
        </w:rPr>
      </w:r>
    </w:p>
    <w:p>
      <w:r>
        <w:rPr>
          <w:b/>
          <w:sz w:val="21"/>
        </w:rPr>
        <w:t>Harold Jessup, MD, Magnolia Grove Clinic, Jackson, MS (AR)</w:t>
      </w:r>
    </w:p>
    <w:p>
      <w:r>
        <w:rPr>
          <w:sz w:val="21"/>
        </w:rPr>
        <w:t>&gt; Visit on February 5, approximately 30 minutes; second discussion with this clinic in 2026.</w:t>
      </w:r>
    </w:p>
    <w:p>
      <w:r>
        <w:rPr>
          <w:sz w:val="21"/>
        </w:rPr>
        <w:t>&gt; Called titration in geriatric patients 'a second job' for caregivers and asked for simpler guidance.</w:t>
      </w:r>
    </w:p>
    <w:p>
      <w:r>
        <w:rPr>
          <w:sz w:val="21"/>
        </w:rPr>
        <w:t>&gt; Elaborated that most patients over 65 in the panel arrive on five or more concomitant medications, and that any schedule change generates a call from a family member.</w:t>
      </w:r>
    </w:p>
    <w:p>
      <w:r>
        <w:rPr>
          <w:sz w:val="21"/>
        </w:rPr>
        <w:t>&gt; Estimated that two of every three older patients need a pharmacist review before a change is made, which adds about a week to the decision.</w:t>
      </w:r>
    </w:p>
    <w:p>
      <w:r>
        <w:rPr>
          <w:sz w:val="21"/>
        </w:rPr>
        <w:t>&gt; Request logged: caregiver-facing education on what to expect during a titration period, at label level. Routing to Medical Information.</w:t>
      </w:r>
    </w:p>
    <w:p>
      <w:r>
        <w:rPr>
          <w:sz w:val="21"/>
        </w:rPr>
      </w:r>
    </w:p>
    <w:p>
      <w:r>
        <w:rPr>
          <w:b/>
          <w:sz w:val="21"/>
        </w:rPr>
        <w:t>Yolanda Reyes, MD, Copper Mesa Neurology, Mesa, AZ (RSM)</w:t>
      </w:r>
    </w:p>
    <w:p>
      <w:r>
        <w:rPr>
          <w:sz w:val="21"/>
        </w:rPr>
        <w:t>&gt; Brief encounter on January 29, under ten minutes, in the clinic corridor.</w:t>
      </w:r>
    </w:p>
    <w:p>
      <w:r>
        <w:rPr>
          <w:sz w:val="21"/>
        </w:rPr>
        <w:t>&gt; Conversation was social: a two-week trip to Oaxaca over the holidays, and the usual observation that February in Mesa is the only compensation for July.</w:t>
      </w:r>
    </w:p>
    <w:p>
      <w:r>
        <w:rPr>
          <w:sz w:val="21"/>
        </w:rPr>
        <w:t>&gt; Also asked about flight routing to Seoul for a family trip in the fall.</w:t>
      </w:r>
    </w:p>
    <w:p>
      <w:r>
        <w:rPr>
          <w:sz w:val="21"/>
        </w:rPr>
        <w:t>&gt; No clinical or product discussion took place.</w:t>
      </w:r>
    </w:p>
    <w:p>
      <w:r>
        <w:rPr>
          <w:sz w:val="21"/>
        </w:rPr>
      </w:r>
    </w:p>
    <w:p>
      <w:r>
        <w:rPr>
          <w:b/>
          <w:sz w:val="21"/>
        </w:rPr>
        <w:t>Mei-Lin Tsang, MD, Bayview Epilepsy Associates, Oakland, CA (RSM)</w:t>
      </w:r>
    </w:p>
    <w:p>
      <w:r>
        <w:rPr>
          <w:sz w:val="21"/>
        </w:rPr>
        <w:t>&gt; Visit on February 6, approximately 20 minutes, at the Oakland site.</w:t>
      </w:r>
    </w:p>
    <w:p>
      <w:r>
        <w:rPr>
          <w:sz w:val="21"/>
        </w:rPr>
        <w:t>&gt; Discussion stayed at the level of the general ASM landscape: counted eleven agents in routine use at the center, and observed that the number of mechanisms represented is smaller than the number of molecules.</w:t>
      </w:r>
    </w:p>
    <w:p>
      <w:r>
        <w:rPr>
          <w:sz w:val="21"/>
        </w:rPr>
        <w:t>&gt; Noted that formulary review now runs twice a year rather than annually, and that the committee asks for class-level summaries rather than single-agent reviews.</w:t>
      </w:r>
    </w:p>
    <w:p>
      <w:r>
        <w:rPr>
          <w:sz w:val="21"/>
        </w:rPr>
        <w:t>&gt; No efficacy or comparative claims were made by either party, and no materials were requested.</w:t>
      </w:r>
    </w:p>
    <w:p>
      <w:r>
        <w:rPr>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