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1"/>
        </w:rPr>
        <w:t>Field Medical Highlights — XCOPRI (cenobamate)</w:t>
      </w:r>
    </w:p>
    <w:p>
      <w:r>
        <w:rPr>
          <w:sz w:val="21"/>
        </w:rPr>
        <w:t>Date: March 9, 2026   |   From: Rachel Suh, Sam Becker</w:t>
      </w:r>
    </w:p>
    <w:p>
      <w:r>
        <w:rPr>
          <w:sz w:val="21"/>
        </w:rPr>
      </w:r>
    </w:p>
    <w:p>
      <w:r>
        <w:rPr>
          <w:b/>
          <w:sz w:val="21"/>
        </w:rPr>
        <w:t>FIELD MEDICAL INSIGHTS</w:t>
      </w:r>
    </w:p>
    <w:p>
      <w:r>
        <w:rPr>
          <w:sz w:val="21"/>
        </w:rPr>
      </w:r>
    </w:p>
    <w:p>
      <w:r>
        <w:rPr>
          <w:b/>
          <w:sz w:val="21"/>
        </w:rPr>
        <w:t>Mei-Lin Tsang, MD, Bayview Epilepsy Associates, Oakland, CA (RSM)</w:t>
      </w:r>
    </w:p>
    <w:p>
      <w:r>
        <w:rPr>
          <w:sz w:val="21"/>
        </w:rPr>
        <w:t>&gt; The visit ran about twenty-five minutes and stayed almost entirely on staffing, which I gather has been the dominant topic at the center since the new year.</w:t>
      </w:r>
    </w:p>
    <w:p>
      <w:r>
        <w:rPr>
          <w:sz w:val="21"/>
        </w:rPr>
        <w:t>&gt; Two of the four advanced practice providers left within the same quarter, and the replacement postings have been open since January without a strong candidate, so the epilepsy service is now covering intake with attending time that used to go to reading studies.</w:t>
      </w:r>
    </w:p>
    <w:p>
      <w:r>
        <w:rPr>
          <w:sz w:val="21"/>
        </w:rPr>
        <w:t>&gt; The practical result, as it was described to me, is that new patient appointments are being booked eleven to twelve weeks out, and follow-up visits are the first thing to move whenever someone calls out sick.</w:t>
      </w:r>
    </w:p>
    <w:p>
      <w:r>
        <w:rPr>
          <w:sz w:val="21"/>
        </w:rPr>
        <w:t>&gt; I was asked, politely, whether our team could plan visits around the academic calendar. I said I would be glad to work within whatever window the clinic prefers and would confirm before the next trip.</w:t>
      </w:r>
    </w:p>
    <w:p>
      <w:r>
        <w:rPr>
          <w:sz w:val="21"/>
        </w:rPr>
        <w:t>&gt; No clinical or product topics were raised on either side, and nothing was requested.</w:t>
      </w:r>
    </w:p>
    <w:p>
      <w:r>
        <w:rPr>
          <w:sz w:val="21"/>
        </w:rPr>
      </w:r>
    </w:p>
    <w:p>
      <w:r>
        <w:rPr>
          <w:b/>
          <w:sz w:val="21"/>
        </w:rPr>
        <w:t>Victor Salas, MD, Hill Country Neuroscience Institute, Austin, TX (RSM)</w:t>
      </w:r>
    </w:p>
    <w:p>
      <w:r>
        <w:rPr>
          <w:sz w:val="21"/>
        </w:rPr>
        <w:t>&gt; A brief conversation, perhaps fifteen minutes, in the resident workroom while the afternoon list was being divided up.</w:t>
      </w:r>
    </w:p>
    <w:p>
      <w:r>
        <w:rPr>
          <w:sz w:val="21"/>
        </w:rPr>
        <w:t>&gt; Teaching load has grown this year: four residents rotate through the epilepsy service rather than two, and the medical student clerkship now falls in the same spring block.</w:t>
      </w:r>
    </w:p>
    <w:p>
      <w:r>
        <w:rPr>
          <w:sz w:val="21"/>
        </w:rPr>
        <w:t>&gt; Journal club has moved to Wednesday evenings, with the reading list chosen by the fellows themselves through June, an arrangement I was told works far better for attendance than the previous faculty-selected format.</w:t>
      </w:r>
    </w:p>
    <w:p>
      <w:r>
        <w:rPr>
          <w:sz w:val="21"/>
        </w:rPr>
        <w:t>&gt; The one frustration mentioned was that fellowship interview season overlaps with the busiest clinic weeks, so applications end up being read on weekends.</w:t>
      </w:r>
    </w:p>
    <w:p>
      <w:r>
        <w:rPr>
          <w:sz w:val="21"/>
        </w:rPr>
        <w:t>&gt; Nothing was requested and no clinical or product topics came up.</w:t>
      </w:r>
    </w:p>
    <w:p>
      <w:r>
        <w:rPr>
          <w:sz w:val="21"/>
        </w:rPr>
      </w:r>
    </w:p>
    <w:p>
      <w:r>
        <w:rPr>
          <w:b/>
          <w:sz w:val="21"/>
        </w:rPr>
        <w:t>Yolanda Reyes, MD, Copper Mesa Neurology, Mesa, AZ (RSM)</w:t>
      </w:r>
    </w:p>
    <w:p>
      <w:r>
        <w:rPr>
          <w:sz w:val="21"/>
        </w:rPr>
        <w:t>&gt; Roughly twenty minutes in the office at the end of the morning clinic; this was the third contact with this practice since the autumn.</w:t>
      </w:r>
    </w:p>
    <w:p>
      <w:r>
        <w:rPr>
          <w:sz w:val="21"/>
        </w:rPr>
        <w:t>&gt; The discussion stayed general, on how crowded the antiseizure medication landscape has become. The observation offered was that a community neurologist now chooses among more agents than mechanisms, and that keeping the distinctions straight is its own small burden.</w:t>
      </w:r>
    </w:p>
    <w:p>
      <w:r>
        <w:rPr>
          <w:sz w:val="21"/>
        </w:rPr>
        <w:t>&gt; Related to that, formulary tiering at the two dominant local plans was described as the practical constraint that shapes sequencing more than anything said at a meeting does.</w:t>
      </w:r>
    </w:p>
    <w:p>
      <w:r>
        <w:rPr>
          <w:sz w:val="21"/>
        </w:rPr>
        <w:t>&gt; No efficacy or comparative claims were made by either party, and I offered none. Nothing was requested and I left no materials.</w:t>
      </w:r>
    </w:p>
    <w:p>
      <w:r>
        <w:rPr>
          <w:sz w:val="21"/>
        </w:rPr>
      </w:r>
    </w:p>
    <w:p>
      <w:r>
        <w:rPr>
          <w:b/>
          <w:sz w:val="21"/>
        </w:rPr>
        <w:t>Fiona Gallagher, MD, Great Lakes Epilepsy Institute, Madison, WI (RSM)</w:t>
      </w:r>
    </w:p>
    <w:p>
      <w:r>
        <w:rPr>
          <w:sz w:val="21"/>
        </w:rPr>
        <w:t>&gt; A short visit, about ten minutes, mostly to sort out plans for the regional epilepsy meeting in June.</w:t>
      </w:r>
    </w:p>
    <w:p>
      <w:r>
        <w:rPr>
          <w:sz w:val="21"/>
        </w:rPr>
        <w:t>&gt; The institute is sending three attendings, two fellows and one nurse practitioner this year, one more than last year, and there was a question about whether the Saturday sessions run into the afternoon, since several of the group are flying home that evening.</w:t>
      </w:r>
    </w:p>
    <w:p>
      <w:r>
        <w:rPr>
          <w:sz w:val="21"/>
        </w:rPr>
        <w:t>&gt; I was asked, politely, whether I would be attending, and I said that I expect to be and would be glad to say hello there rather than take up clinic time for it.</w:t>
      </w:r>
    </w:p>
    <w:p>
      <w:r>
        <w:rPr>
          <w:sz w:val="21"/>
        </w:rPr>
        <w:t>&gt; Mentioned in passing that the registartion portal was rejecting institutional email addresses last week; the meeting office has apparently since fixed it.</w:t>
      </w:r>
    </w:p>
    <w:p>
      <w:r>
        <w:rPr>
          <w:sz w:val="21"/>
        </w:rPr>
        <w:t>&gt; No clinical or product discussion, and nothing was requested.</w:t>
      </w:r>
    </w:p>
    <w:p>
      <w:r>
        <w:rPr>
          <w:sz w:val="21"/>
        </w:rPr>
      </w:r>
    </w:p>
    <w:p>
      <w:r>
        <w:rPr>
          <w:b/>
          <w:sz w:val="21"/>
        </w:rPr>
        <w:t>Imani Okafor, MD, Smoky Ridge Medical Center, Knoxville, TN (RSM)</w:t>
      </w:r>
    </w:p>
    <w:p>
      <w:r>
        <w:rPr>
          <w:sz w:val="21"/>
        </w:rPr>
        <w:t>&gt; Approximately twenty minutes in the clinic office; this was my first visit to the site this year.</w:t>
      </w:r>
    </w:p>
    <w:p>
      <w:r>
        <w:rPr>
          <w:sz w:val="21"/>
        </w:rPr>
        <w:t>&gt; Patient volume was the whole topic. The quarter has run noticably heavier than the same period last year, and the increase is coming almost entirely from primary care referrals rather than from the hospital side.</w:t>
      </w:r>
    </w:p>
    <w:p>
      <w:r>
        <w:rPr>
          <w:sz w:val="21"/>
        </w:rPr>
        <w:t>&gt; The practice added a Thursday evening clinic in February to absorb it, though I was told this has mostly relocated the backlog rather than reduced it, and that documentation now spills past dinner.</w:t>
      </w:r>
    </w:p>
    <w:p>
      <w:r>
        <w:rPr>
          <w:sz w:val="21"/>
        </w:rPr>
        <w:t>&gt; No questions were raised for me, no materials were requested, and no product topics arose. I offered to keep the next visit short and was told that mid-summer would be easier.</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