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1"/>
        </w:rPr>
        <w:t>Field Medical Highlights — XCOPRI (cenobamate)</w:t>
      </w:r>
    </w:p>
    <w:p>
      <w:r>
        <w:rPr>
          <w:sz w:val="21"/>
        </w:rPr>
        <w:t>Date: June 8, 2026   |   From: Priya Menon, Dana Cho</w:t>
      </w:r>
    </w:p>
    <w:p>
      <w:r>
        <w:rPr>
          <w:sz w:val="21"/>
        </w:rPr>
      </w:r>
    </w:p>
    <w:p>
      <w:r>
        <w:rPr>
          <w:b/>
          <w:sz w:val="21"/>
        </w:rPr>
        <w:t>FIELD MEDICAL INSIGHTS</w:t>
      </w:r>
    </w:p>
    <w:p>
      <w:r>
        <w:rPr>
          <w:sz w:val="21"/>
        </w:rPr>
      </w:r>
    </w:p>
    <w:p>
      <w:r>
        <w:rPr>
          <w:b/>
          <w:sz w:val="21"/>
        </w:rPr>
        <w:t>Katherine Ost, MD, Sonoran Neuroscience Institute, Tucson, AZ (RSM)</w:t>
      </w:r>
    </w:p>
    <w:p>
      <w:r>
        <w:rPr>
          <w:sz w:val="21"/>
        </w:rPr>
        <w:t>&gt; Meeting held on June 2 at the Tucson campus, approximately twenty minutes, at the clinic's request.</w:t>
      </w:r>
    </w:p>
    <w:p>
      <w:r>
        <w:rPr>
          <w:sz w:val="21"/>
        </w:rPr>
        <w:t>&gt; The discussion concerned staffing only. One of the two nurse practitioners supporting the epilepsy clinic transferred to the inpatient service in April and recruitment has not yet closed; new patient scheduling has moved from six weeks to roughly ten.</w:t>
      </w:r>
    </w:p>
    <w:p>
      <w:r>
        <w:rPr>
          <w:sz w:val="21"/>
        </w:rPr>
        <w:t>&gt; I was asked to keep future visits within a fixed monthly window so that they do not displace clinical slots, which I have agreed to do.</w:t>
      </w:r>
    </w:p>
    <w:p>
      <w:r>
        <w:rPr>
          <w:sz w:val="21"/>
        </w:rPr>
        <w:t>&gt; Follow-ups: (1) propose two standing visit windows for the third quarter, (2) confirm with the office manager whether late afternoons remain preferable.</w:t>
      </w:r>
    </w:p>
    <w:p>
      <w:r>
        <w:rPr>
          <w:sz w:val="21"/>
        </w:rPr>
      </w:r>
    </w:p>
    <w:p>
      <w:r>
        <w:rPr>
          <w:b/>
          <w:sz w:val="21"/>
        </w:rPr>
        <w:t>Jorge Maldonado, MD, Redwood Basin Medical Group, Sacramento, CA (RSM)</w:t>
      </w:r>
    </w:p>
    <w:p>
      <w:r>
        <w:rPr>
          <w:sz w:val="21"/>
        </w:rPr>
        <w:t>&gt; Brief encounter on June 3, under ten minutes, in the clinic corridor between appts.</w:t>
      </w:r>
    </w:p>
    <w:p>
      <w:r>
        <w:rPr>
          <w:sz w:val="21"/>
        </w:rPr>
        <w:t>&gt; The conversation was social: two weeks in Lisbon in May, and the observation that valley heat arrived a full month early this year, with the building air handling being blamed for the remainder.</w:t>
      </w:r>
    </w:p>
    <w:p>
      <w:r>
        <w:rPr>
          <w:sz w:val="21"/>
        </w:rPr>
        <w:t>&gt; I was also asked for a recommendation on rail travel in Japan for a family trip in the autumn, which I could not provide with any authority.</w:t>
      </w:r>
    </w:p>
    <w:p>
      <w:r>
        <w:rPr>
          <w:sz w:val="21"/>
        </w:rPr>
        <w:t>&gt; No clinical or product discussion took place, and nothing was requested.</w:t>
      </w:r>
    </w:p>
    <w:p>
      <w:r>
        <w:rPr>
          <w:sz w:val="21"/>
        </w:rPr>
      </w:r>
    </w:p>
    <w:p>
      <w:r>
        <w:rPr>
          <w:b/>
          <w:sz w:val="21"/>
        </w:rPr>
        <w:t>Naomi Feldman, MD, Twin Rivers University Hospital, Columbus, OH (RSM)</w:t>
      </w:r>
    </w:p>
    <w:p>
      <w:r>
        <w:rPr>
          <w:sz w:val="21"/>
        </w:rPr>
        <w:t>&gt; Meeting held on June 4 at Twin Rivers, approximately thirty-five minutes; third contact with this center since October 2025.</w:t>
      </w:r>
    </w:p>
    <w:p>
      <w:r>
        <w:rPr>
          <w:sz w:val="21"/>
        </w:rPr>
        <w:t>&gt; The scheduled topic was the transition clinic, which now sees patients from age sixteen jointly with pediatric neurology twice a month.</w:t>
      </w:r>
    </w:p>
    <w:p>
      <w:r>
        <w:rPr>
          <w:sz w:val="21"/>
        </w:rPr>
        <w:t>&gt; Raised, unprompted, that a 16-year-old with drug-resistant focal seizures had to stay on a failing regimen because cenobamate is not approved below 18.</w:t>
      </w:r>
    </w:p>
    <w:p>
      <w:r>
        <w:rPr>
          <w:sz w:val="21"/>
        </w:rPr>
        <w:t>&gt; I confirmed that the XCOPRI indication in the United States is limited to adults and did not discuss use below that age; no request to do so was made. The point being made concerned the absence of an option and what is said to the family in the meantime.</w:t>
      </w:r>
    </w:p>
    <w:p>
      <w:r>
        <w:rPr>
          <w:sz w:val="21"/>
        </w:rPr>
        <w:t>&gt; Follow-ups: (1) log as a recurring unmet need in the adolescent population, the fourth such account recorded this quarter, (2) ask Medical Information which published adolescent pharmacokinetic literature, if any, may be shared on request, (3) no safety event was described and nothing has been routed to safety.</w:t>
      </w:r>
    </w:p>
    <w:p>
      <w:r>
        <w:rPr>
          <w:sz w:val="21"/>
        </w:rPr>
      </w:r>
    </w:p>
    <w:p>
      <w:r>
        <w:rPr>
          <w:b/>
          <w:sz w:val="21"/>
        </w:rPr>
        <w:t>Robert Enloe, MD, High Desert Neurology, Boise, ID (AR)</w:t>
      </w:r>
    </w:p>
    <w:p>
      <w:r>
        <w:rPr>
          <w:sz w:val="21"/>
        </w:rPr>
        <w:t>&gt; Telephone conversation on June 5, approximately ten minutes, at my request.</w:t>
      </w:r>
    </w:p>
    <w:p>
      <w:r>
        <w:rPr>
          <w:sz w:val="21"/>
        </w:rPr>
        <w:t>&gt; The practice is sending one physician and one MA to the regional epilepsy meeting this month, and asked whether the Friday sessions are listed in the main program or seperately.</w:t>
      </w:r>
    </w:p>
    <w:p>
      <w:r>
        <w:rPr>
          <w:sz w:val="21"/>
        </w:rPr>
        <w:t>&gt; A second question concerned whether the poster session runs over the lunch hour, since the return flight is already booked for that evening.</w:t>
      </w:r>
    </w:p>
    <w:p>
      <w:r>
        <w:rPr>
          <w:sz w:val="21"/>
        </w:rPr>
        <w:t>&gt; Follow-ups: (1) forward the published program once the meeting office releases it, (2) confirm the poster session hours. No clinical or product topics were discussed.</w:t>
      </w:r>
    </w:p>
    <w:p>
      <w:r>
        <w:rPr>
          <w:sz w:val="21"/>
        </w:rPr>
      </w:r>
    </w:p>
    <w:p>
      <w:r>
        <w:rPr>
          <w:b/>
          <w:sz w:val="21"/>
        </w:rPr>
        <w:t>Priya Raghavan, MD, North Star Neurology, Minneapolis, MN (RSM)</w:t>
      </w:r>
    </w:p>
    <w:p>
      <w:r>
        <w:rPr>
          <w:sz w:val="21"/>
        </w:rPr>
        <w:t>&gt; Visit on June 1, approximately fifteen minutes, held in a temporary office on the ground floor.</w:t>
      </w:r>
    </w:p>
    <w:p>
      <w:r>
        <w:rPr>
          <w:sz w:val="21"/>
        </w:rPr>
        <w:t>&gt; The second floor is closed for mechanical work until September, so the neurology clinic is operating out of four borrowed rooms and one shared workstation.</w:t>
      </w:r>
    </w:p>
    <w:p>
      <w:r>
        <w:rPr>
          <w:sz w:val="21"/>
        </w:rPr>
        <w:t>&gt; The substantive complaint was parking: the staff lot is now a construction laydown area, the replacement lot is a nine-minute walk, and patients arriving with a driver are being dropped at a service entrance that is not signed.</w:t>
      </w:r>
    </w:p>
    <w:p>
      <w:r>
        <w:rPr>
          <w:sz w:val="21"/>
        </w:rPr>
        <w:t>&gt; Nothing was requested of me. I offered to defer the next visit until the clinic returns upstairs, and that was accepted.</w:t>
      </w:r>
    </w:p>
    <w:p>
      <w:r>
        <w:rPr>
          <w:sz w:val="21"/>
        </w:rPr>
      </w:r>
    </w:p>
    <w:p>
      <w:r>
        <w:rPr>
          <w:b/>
          <w:sz w:val="21"/>
        </w:rPr>
        <w:t>Susan Ratliff, MD, Harborlight Neurology, Portland, ME (AR)</w:t>
      </w:r>
    </w:p>
    <w:p>
      <w:r>
        <w:rPr>
          <w:sz w:val="21"/>
        </w:rPr>
        <w:t>&gt; Meeting held on June 5 by video, approximately twenty minutes.</w:t>
      </w:r>
    </w:p>
    <w:p>
      <w:r>
        <w:rPr>
          <w:sz w:val="21"/>
        </w:rPr>
        <w:t>&gt; Roughly one third of follow-up visits at this practice are now virtual and the intention is to keep that share; the stated reason is that patients driving in from inland counties otherwise miss appts altogether.</w:t>
      </w:r>
    </w:p>
    <w:p>
      <w:r>
        <w:rPr>
          <w:sz w:val="21"/>
        </w:rPr>
        <w:t>&gt; Two constraints were described precisely. First, a substantial minority of patients join by audio only, so nothing observable is gained over an ordinary telephone call. Second, several patients winter out of state, which raises a licensure question the practice has not resolved and which the billing service answers differently each time it is asked.</w:t>
      </w:r>
    </w:p>
    <w:p>
      <w:r>
        <w:rPr>
          <w:sz w:val="21"/>
        </w:rPr>
        <w:t>&gt; Nothing was requested of me and no product topics were raised. I asked whether a video slot would be preferred for our own contacts and was told that in person remains easier, ideally late in the day.</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