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1"/>
        </w:rPr>
        <w:t>Field Medical Highlights — XCOPRI (cenobamate)</w:t>
      </w:r>
    </w:p>
    <w:p>
      <w:r>
        <w:rPr>
          <w:sz w:val="21"/>
        </w:rPr>
        <w:t>Date: July 13, 2026   |   From: Rachel Suh, Priya Menon</w:t>
      </w:r>
    </w:p>
    <w:p>
      <w:r>
        <w:rPr>
          <w:sz w:val="21"/>
        </w:rPr>
      </w:r>
    </w:p>
    <w:p>
      <w:r>
        <w:rPr>
          <w:b/>
          <w:sz w:val="21"/>
        </w:rPr>
        <w:t>FIELD MEDICAL INSIGHTS</w:t>
      </w:r>
    </w:p>
    <w:p>
      <w:r>
        <w:rPr>
          <w:sz w:val="21"/>
        </w:rPr>
      </w:r>
    </w:p>
    <w:p>
      <w:r>
        <w:rPr>
          <w:b/>
          <w:sz w:val="21"/>
        </w:rPr>
        <w:t>Caleb Munson, MD, Cedar Ridge Medical Group, Springfield, IL (AR)</w:t>
      </w:r>
    </w:p>
    <w:p>
      <w:r>
        <w:rPr>
          <w:sz w:val="21"/>
        </w:rPr>
        <w:t>&gt; A long conversation, most of it about how referrals from the two local pediatric practices reach this clinic well before those patients turn eighteen.</w:t>
      </w:r>
    </w:p>
    <w:p>
      <w:r>
        <w:rPr>
          <w:sz w:val="21"/>
        </w:rPr>
        <w:t>&gt; Described the habit of 'parking' adolescent drug-resistant cases until 18, calling it an uncomfortable way to practice.</w:t>
      </w:r>
    </w:p>
    <w:p>
      <w:r>
        <w:rPr>
          <w:sz w:val="21"/>
        </w:rPr>
        <w:t>&gt; To be precise about what was said, the framing was administrative rather than clinical - the prescriber follows these patients, keeps the existing regimen, and waits, because the approved population begins at adulthood.</w:t>
      </w:r>
    </w:p>
    <w:p>
      <w:r>
        <w:rPr>
          <w:sz w:val="21"/>
        </w:rPr>
        <w:t>&gt; No use outside the approved population was discussed or implied at any point, and I said the observation would be recorded as field feedback for our medical team.</w:t>
      </w:r>
    </w:p>
    <w:p>
      <w:r>
        <w:rPr>
          <w:sz w:val="21"/>
        </w:rPr>
        <w:t>&gt; We closed on scheduling; the earliest slot the practice can offer is late August.</w:t>
      </w:r>
    </w:p>
    <w:p>
      <w:r>
        <w:rPr>
          <w:sz w:val="21"/>
        </w:rPr>
      </w:r>
    </w:p>
    <w:p>
      <w:r>
        <w:rPr>
          <w:b/>
          <w:sz w:val="21"/>
        </w:rPr>
        <w:t>Imani Okafor, MD, Smoky Ridge Medical Center, Knoxville, TN (RSM)</w:t>
      </w:r>
    </w:p>
    <w:p>
      <w:r>
        <w:rPr>
          <w:sz w:val="21"/>
        </w:rPr>
        <w:t>&gt; Most of our time went to the new encounter template, which apparently forces a single seizure count per visit even when patients describe several event types.</w:t>
      </w:r>
    </w:p>
    <w:p>
      <w:r>
        <w:rPr>
          <w:sz w:val="21"/>
        </w:rPr>
        <w:t>&gt; The workaround has been a free-text line at the bottom of the note, so the counts cannot be searched later, and that is the part that frustrates this clinic most.</w:t>
      </w:r>
    </w:p>
    <w:p>
      <w:r>
        <w:rPr>
          <w:sz w:val="21"/>
        </w:rPr>
        <w:t>&gt; Two medical assistants are re-entering diaries by hand after clinic, and informatics has an open ticket that has not moved since spring.</w:t>
      </w:r>
    </w:p>
    <w:p>
      <w:r>
        <w:rPr>
          <w:sz w:val="21"/>
        </w:rPr>
        <w:t>&gt; I offered nothing beyond sympathy, since this is an internal systems matter; I note it only because chart-based questions take noticeably longer at this site.</w:t>
      </w:r>
    </w:p>
    <w:p>
      <w:r>
        <w:rPr>
          <w:sz w:val="21"/>
        </w:rPr>
      </w:r>
    </w:p>
    <w:p>
      <w:r>
        <w:rPr>
          <w:b/>
          <w:sz w:val="21"/>
        </w:rPr>
        <w:t>Jorge Maldonado, MD, Redwood Basin Medical Group, Sacramento, CA (RSM)</w:t>
      </w:r>
    </w:p>
    <w:p>
      <w:r>
        <w:rPr>
          <w:sz w:val="21"/>
        </w:rPr>
        <w:t>&gt; This visit was almost entirely about telehealth logistics: roughly a third of follow-ups are now video, and the clinic is deciding which visit types should stay remote permanently.</w:t>
      </w:r>
    </w:p>
    <w:p>
      <w:r>
        <w:rPr>
          <w:sz w:val="21"/>
        </w:rPr>
        <w:t>&gt; The practical complaint is bandwith at the patient end rather than the platform itself, so the front office has started calling patients the day before to test the link.</w:t>
      </w:r>
    </w:p>
    <w:p>
      <w:r>
        <w:rPr>
          <w:sz w:val="21"/>
        </w:rPr>
        <w:t>&gt; Interstate licensing came up as well, since a number of patients drive in from Nevada and therefore cannot be seen remotely.</w:t>
      </w:r>
    </w:p>
    <w:p>
      <w:r>
        <w:rPr>
          <w:sz w:val="21"/>
        </w:rPr>
        <w:t>&gt; There was no clinical discussion today; the physician was between video blocks and we spoke in the corridor for about ten minutes.</w:t>
      </w:r>
    </w:p>
    <w:p>
      <w:r>
        <w:rPr>
          <w:sz w:val="21"/>
        </w:rPr>
      </w:r>
    </w:p>
    <w:p>
      <w:r>
        <w:rPr>
          <w:b/>
          <w:sz w:val="21"/>
        </w:rPr>
        <w:t>Katherine Ost, MD, Sonoran Neuroscience Institute, Tucson, AZ (RSM)</w:t>
      </w:r>
    </w:p>
    <w:p>
      <w:r>
        <w:rPr>
          <w:sz w:val="21"/>
        </w:rPr>
        <w:t>&gt; The conversation was mostly about the regional epilepsy meeting in the fall - which sessions justify the travel, and whether the institute will send fellows this year.</w:t>
      </w:r>
    </w:p>
    <w:p>
      <w:r>
        <w:rPr>
          <w:sz w:val="21"/>
        </w:rPr>
        <w:t>&gt; Two colleagues from the neurophysiology group have submitted abstracts, and the hope is that acceptance frees up travel funds for junior staff.</w:t>
      </w:r>
    </w:p>
    <w:p>
      <w:r>
        <w:rPr>
          <w:sz w:val="21"/>
        </w:rPr>
        <w:t>&gt; I was asked whether our people would be in the exhibit area, and I confirmed only that colleagues usually attend and that I would forward the agenda once it is published.</w:t>
      </w:r>
    </w:p>
    <w:p>
      <w:r>
        <w:rPr>
          <w:sz w:val="21"/>
        </w:rPr>
        <w:t>&gt; We agreed to compare calendars in September, since the meeting overlaps with the annual EEG course.</w:t>
      </w:r>
    </w:p>
    <w:p>
      <w:r>
        <w:rPr>
          <w:sz w:val="21"/>
        </w:rPr>
      </w:r>
    </w:p>
    <w:p>
      <w:r>
        <w:rPr>
          <w:b/>
          <w:sz w:val="21"/>
        </w:rPr>
        <w:t>Priya Raghavan, MD, North Star Neurology, Minneapolis, MN (RSM)</w:t>
      </w:r>
    </w:p>
    <w:p>
      <w:r>
        <w:rPr>
          <w:sz w:val="21"/>
        </w:rPr>
        <w:t>&gt; Nearly all of the time was spent on paperwork burden in general terms: prior authorization volume across the whole practice has roughly doubled in two years, by the office manager's count.</w:t>
      </w:r>
    </w:p>
    <w:p>
      <w:r>
        <w:rPr>
          <w:sz w:val="21"/>
        </w:rPr>
        <w:t>&gt; One staff member now handles authorizations and appeals full time, and the physician described spending part of most evenings on peer-to-peer calls that could have been a form.</w:t>
      </w:r>
    </w:p>
    <w:p>
      <w:r>
        <w:rPr>
          <w:sz w:val="21"/>
        </w:rPr>
        <w:t>&gt; No product or therapy specifics were raised, and I introduced none; the point being made was about administrative load, not about any particular treatment.</w:t>
      </w:r>
    </w:p>
    <w:p>
      <w:r>
        <w:rPr>
          <w:sz w:val="21"/>
        </w:rPr>
        <w:t>&gt; The only request was that visits be scheduled around the Tuesday authorization block, which I have noted for future planning.</w:t>
      </w:r>
    </w:p>
    <w:p>
      <w:r>
        <w:rPr>
          <w:sz w:val="21"/>
        </w:rPr>
      </w:r>
    </w:p>
    <w:p>
      <w:r>
        <w:rPr>
          <w:b/>
          <w:sz w:val="21"/>
        </w:rPr>
        <w:t>Robert Enloe, MD, High Desert Neurology, Boise, ID (AR)</w:t>
      </w:r>
    </w:p>
    <w:p>
      <w:r>
        <w:rPr>
          <w:sz w:val="21"/>
        </w:rPr>
        <w:t>&gt; A brief and largely social visit. Smoke from the fires south of town had closed the trail network, and much of the conversation concerned a postponed rafting trip.</w:t>
      </w:r>
    </w:p>
    <w:p>
      <w:r>
        <w:rPr>
          <w:sz w:val="21"/>
        </w:rPr>
        <w:t>&gt; August travel will leave the practice with one covering physician, so the schedule is deliberately light that month.</w:t>
      </w:r>
    </w:p>
    <w:p>
      <w:r>
        <w:rPr>
          <w:sz w:val="21"/>
        </w:rPr>
        <w:t>&gt; I was asked, politely, whether I still drive the full loop across the state, and we compared notes on which mountain passes are worth avoiding in winter.</w:t>
      </w:r>
    </w:p>
    <w:p>
      <w:r>
        <w:rPr>
          <w:sz w:val="21"/>
        </w:rPr>
        <w:t>&gt; Nothing clinical was raised and I introduced nothing; I will plan a substantive visit for September.</w:t>
      </w:r>
    </w:p>
    <w:p>
      <w:r>
        <w:rPr>
          <w:sz w:val="21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