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1"/>
        </w:rPr>
        <w:t>[SYNTHETIC SAMPLE] Fictional record generated for the DELPHi prototype demo. Names, institutions, and statements are invented; the layout imitates a generic field-medical format. Not a real document and not derived from any real record.</w:t>
      </w:r>
    </w:p>
    <w:p>
      <w:r>
        <w:rPr>
          <w:sz w:val="21"/>
        </w:rPr>
      </w:r>
    </w:p>
    <w:p>
      <w:r>
        <w:rPr>
          <w:b/>
          <w:sz w:val="21"/>
        </w:rPr>
        <w:t>Field Medical Highlights — XCOPRI (cenobamate)</w:t>
      </w:r>
    </w:p>
    <w:p>
      <w:r>
        <w:rPr>
          <w:sz w:val="21"/>
        </w:rPr>
        <w:t>Date: November 10, 2025   |   From: Rachel Suh, Dana Cho</w:t>
      </w:r>
    </w:p>
    <w:p>
      <w:r>
        <w:rPr>
          <w:sz w:val="21"/>
        </w:rPr>
      </w:r>
    </w:p>
    <w:p>
      <w:r>
        <w:rPr>
          <w:b/>
          <w:sz w:val="21"/>
        </w:rPr>
        <w:t>FIELD MEDICAL INSIGHTS</w:t>
      </w:r>
    </w:p>
    <w:p>
      <w:r>
        <w:rPr>
          <w:sz w:val="21"/>
        </w:rPr>
      </w:r>
    </w:p>
    <w:p>
      <w:r>
        <w:rPr>
          <w:b/>
          <w:sz w:val="21"/>
        </w:rPr>
        <w:t>Omar Haddad, MD, Beacon Hill Epilepsy Center, Providence, RI (RSM)</w:t>
      </w:r>
    </w:p>
    <w:p>
      <w:r>
        <w:rPr>
          <w:sz w:val="21"/>
        </w:rPr>
        <w:t>&gt; A thorough half hour, and the adolescent question arrived before I had asked anything.</w:t>
      </w:r>
    </w:p>
    <w:p>
      <w:r>
        <w:rPr>
          <w:sz w:val="21"/>
        </w:rPr>
        <w:t>&gt; Mentioned two adolescent patients who failed carbamazepine and levetiracetam and said the treatment options in that age group feel like a dead end.</w:t>
      </w:r>
    </w:p>
    <w:p>
      <w:r>
        <w:rPr>
          <w:sz w:val="21"/>
        </w:rPr>
        <w:t>&gt; Was explicit that this describes what is approved and available rather than a request to go beyond it; I confirmed that XCOPRI is indicated in adults only and did not discuss use below 18.</w:t>
      </w:r>
    </w:p>
    <w:p>
      <w:r>
        <w:rPr>
          <w:sz w:val="21"/>
        </w:rPr>
        <w:t>&gt; Added that families arrive having read a good deal online and ask why the age cut-off exists at all, a conversation this clinic now has repeatedly.</w:t>
      </w:r>
    </w:p>
    <w:p>
      <w:r>
        <w:rPr>
          <w:sz w:val="21"/>
        </w:rPr>
      </w:r>
    </w:p>
    <w:p>
      <w:r>
        <w:rPr>
          <w:b/>
          <w:sz w:val="21"/>
        </w:rPr>
        <w:t>Imani Okafor, MD, Smoky Ridge Medical Center, Knoxville, TN (RSM)</w:t>
      </w:r>
    </w:p>
    <w:p>
      <w:r>
        <w:rPr>
          <w:sz w:val="21"/>
        </w:rPr>
        <w:t>&gt; The discussion stayed general and no specific agent was named at any point.</w:t>
      </w:r>
    </w:p>
    <w:p>
      <w:r>
        <w:rPr>
          <w:sz w:val="21"/>
        </w:rPr>
        <w:t>&gt; Observed that the number of antiseizure medications in routine use at this center has grown steadily while the number of distinct mechanisms has not, and that the formulary committee now asks for class-level summaries rather than single-agent reviews.</w:t>
      </w:r>
    </w:p>
    <w:p>
      <w:r>
        <w:rPr>
          <w:sz w:val="21"/>
        </w:rPr>
        <w:t>&gt; Asked out of curiosity how often such committees revisit a list; I did not know and did not guess.</w:t>
      </w:r>
    </w:p>
    <w:p>
      <w:r>
        <w:rPr>
          <w:sz w:val="21"/>
        </w:rPr>
        <w:t>&gt; No comparative or efficacy claims were made by either party and no materials were requested.</w:t>
      </w:r>
    </w:p>
    <w:p>
      <w:r>
        <w:rPr>
          <w:sz w:val="21"/>
        </w:rPr>
      </w:r>
    </w:p>
    <w:p>
      <w:r>
        <w:rPr>
          <w:b/>
          <w:sz w:val="21"/>
        </w:rPr>
        <w:t>Mei-Lin Tsang, MD, Bayview Epilepsy Associates, Oakland, CA (RSM)</w:t>
      </w:r>
    </w:p>
    <w:p>
      <w:r>
        <w:rPr>
          <w:sz w:val="21"/>
        </w:rPr>
        <w:t>&gt; Brief and entirely logistical. The center plans to send three attendings and two fellows to the regional epilepsy meeting in the spring.</w:t>
      </w:r>
    </w:p>
    <w:p>
      <w:r>
        <w:rPr>
          <w:sz w:val="21"/>
        </w:rPr>
        <w:t>&gt; Raised that the Thursday sessions collide with a full clinic day, and that travel approval at this institution now has to be filed a full quarter ahead.</w:t>
      </w:r>
    </w:p>
    <w:p>
      <w:r>
        <w:rPr>
          <w:sz w:val="21"/>
        </w:rPr>
        <w:t>&gt; Asked whether the preliminary agenda had been circulated yet; I said I would forward it once it is public.</w:t>
      </w:r>
    </w:p>
    <w:p>
      <w:r>
        <w:rPr>
          <w:sz w:val="21"/>
        </w:rPr>
      </w:r>
    </w:p>
    <w:p>
      <w:r>
        <w:rPr>
          <w:b/>
          <w:sz w:val="21"/>
        </w:rPr>
        <w:t>Katherine Ost, MD, Sonoran Neuroscience Institute, Tucson, AZ (RSM)</w:t>
      </w:r>
    </w:p>
    <w:p>
      <w:r>
        <w:rPr>
          <w:sz w:val="21"/>
        </w:rPr>
        <w:t>&gt; A longer visit than scheduled, and the tone was noticeably positive throughout.</w:t>
      </w:r>
    </w:p>
    <w:p>
      <w:r>
        <w:rPr>
          <w:sz w:val="21"/>
        </w:rPr>
        <w:t>&gt; Shared that two drug-resistant adults who had failed multiple ASMs are now several months with markedly fewer seizures on cenobamate.</w:t>
      </w:r>
    </w:p>
    <w:p>
      <w:r>
        <w:rPr>
          <w:sz w:val="21"/>
        </w:rPr>
        <w:t>&gt; Was careful to add that these are two individual courses rather than a pattern anyone should read too much into, and that both patients remain under close f/u in clinic.</w:t>
      </w:r>
    </w:p>
    <w:p>
      <w:r>
        <w:rPr>
          <w:sz w:val="21"/>
        </w:rPr>
        <w:t>&gt; No dosing specifics came up and I made no claims of my own; recording the experience only as reported.</w:t>
      </w:r>
    </w:p>
    <w:p>
      <w:r>
        <w:rPr>
          <w:sz w:val="21"/>
        </w:rPr>
      </w:r>
    </w:p>
    <w:p>
      <w:r>
        <w:rPr>
          <w:b/>
          <w:sz w:val="21"/>
        </w:rPr>
        <w:t>Yolanda Reyes, MD, Copper Mesa Neurology, Mesa, AZ (RSM)</w:t>
      </w:r>
    </w:p>
    <w:p>
      <w:r>
        <w:rPr>
          <w:sz w:val="21"/>
        </w:rPr>
        <w:t>&gt; Fifteen minutes by phone, and the subject throughout was telehealth logistics.</w:t>
      </w:r>
    </w:p>
    <w:p>
      <w:r>
        <w:rPr>
          <w:sz w:val="21"/>
        </w:rPr>
        <w:t>&gt; Roughly half of the follow-up visits at this office are now virtual, and the no-show rate for those slots was described as lower than for in-person appts, though nobody has measured it properly.</w:t>
      </w:r>
    </w:p>
    <w:p>
      <w:r>
        <w:rPr>
          <w:sz w:val="21"/>
        </w:rPr>
        <w:t>&gt; Two practical problems raised: patients cannot upload a seizure diary through the video platform, and interpreter scheduling still needs two days notice.</w:t>
      </w:r>
    </w:p>
    <w:p>
      <w:r>
        <w:rPr>
          <w:sz w:val="21"/>
        </w:rPr>
        <w:t>&gt; Nothing clinical came up and no materials were requested.</w:t>
      </w:r>
    </w:p>
    <w:p>
      <w:r>
        <w:rPr>
          <w:sz w:val="21"/>
        </w:rPr>
      </w:r>
    </w:p>
    <w:p>
      <w:r>
        <w:rPr>
          <w:b/>
          <w:sz w:val="21"/>
        </w:rPr>
        <w:t>Alice Nguyen-Barr, MD, Old Dominion Neurology Group, Richmond, VA (AR)</w:t>
      </w:r>
    </w:p>
    <w:p>
      <w:r>
        <w:rPr>
          <w:sz w:val="21"/>
        </w:rPr>
        <w:t>&gt; A courtesy stop at the end of the day, and the conversation never left small talk.</w:t>
      </w:r>
    </w:p>
    <w:p>
      <w:r>
        <w:rPr>
          <w:sz w:val="21"/>
        </w:rPr>
        <w:t>&gt; Most of it was about the storm that closed the interstate last week and a delayed flight back from a family wedding in Seattle.</w:t>
      </w:r>
    </w:p>
    <w:p>
      <w:r>
        <w:rPr>
          <w:sz w:val="21"/>
        </w:rPr>
        <w:t>&gt; Also asked, politely, whether I ever tire of the driving between Richmond and Norfolk, which I confessed I occassionally do.</w:t>
      </w:r>
    </w:p>
    <w:p>
      <w:r>
        <w:rPr>
          <w:sz w:val="21"/>
        </w:rPr>
        <w:t>&gt; No clinical or product discussion of any kind.</w:t>
      </w:r>
    </w:p>
    <w:p>
      <w:r>
        <w:rPr>
          <w:sz w:val="21"/>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