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January 20, 2026   |   MSL: Dana Cho</w:t>
      </w:r>
    </w:p>
    <w:p>
      <w:r>
        <w:rPr>
          <w:b/>
          <w:sz w:val="21"/>
        </w:rPr>
        <w:t>HCP: Omar Haddad, MD, Beacon Hill Epilepsy Center, Providence, RI (RSM)</w:t>
      </w:r>
    </w:p>
    <w:p>
      <w:r>
        <w:rPr>
          <w:sz w:val="21"/>
        </w:rPr>
      </w:r>
    </w:p>
    <w:p>
      <w:r>
        <w:rPr>
          <w:sz w:val="21"/>
        </w:rPr>
        <w:t>Visit on January 20 at 11:00, thirty minutes as scheduled, third interaction with this center since September 2025.</w:t>
      </w:r>
    </w:p>
    <w:p>
      <w:r>
        <w:rPr>
          <w:sz w:val="21"/>
        </w:rPr>
      </w:r>
    </w:p>
    <w:p>
      <w:r>
        <w:rPr>
          <w:sz w:val="21"/>
        </w:rPr>
        <w:t>First half was telehealth logistics. The center moved to a hybrid model in October and now runs roughly 40 percent of routine follow-ups remotely. The attending estimated that about one in five of those still converts to an in-person visit, usually because a repeat EEG is needed. Two coordinators handle the virtual queue, and the stated bottleneck is not the technology but the consent step, which currently takes a separate call. Noted for context only.</w:t>
      </w:r>
    </w:p>
    <w:p>
      <w:r>
        <w:rPr>
          <w:sz w:val="21"/>
        </w:rPr>
      </w:r>
    </w:p>
    <w:p>
      <w:r>
        <w:rPr>
          <w:sz w:val="21"/>
        </w:rPr>
        <w:t>Second half turned to the adolescent population. The epilepsy program here follows patients from age 12 upward and transitions them internally at 18, so both sides of that line sit in the same clinic. Requested a literature package on cenobamate in patients under 18, even early-phase or PK work. I confirmed that I would search what is publicly available and reply in writing, and stated plainly that I could not comment on use outside the approved adult indication. That was accepted without further discussion.</w:t>
      </w:r>
    </w:p>
    <w:p>
      <w:r>
        <w:rPr>
          <w:sz w:val="21"/>
        </w:rPr>
      </w:r>
    </w:p>
    <w:p>
      <w:r>
        <w:rPr>
          <w:sz w:val="21"/>
        </w:rPr>
        <w:t>No adverse events were discussed and no claims were made on my side.</w:t>
      </w:r>
    </w:p>
    <w:p>
      <w:r>
        <w:rPr>
          <w:sz w:val="21"/>
        </w:rPr>
      </w:r>
    </w:p>
    <w:p>
      <w:r>
        <w:rPr>
          <w:sz w:val="21"/>
        </w:rPr>
        <w:t>F/u: reply by January 27 with whatever published pediatric or PK material on CNB exists, or written confirmation that none is available. Next visit targeted for the week of March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