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July 23, 2021   |   MSL: Sam Becker</w:t>
      </w:r>
    </w:p>
    <w:p>
      <w:r>
        <w:rPr>
          <w:b/>
          <w:sz w:val="21"/>
        </w:rPr>
        <w:t>HCP: Xiomara Eversholt, MD, Juniper Flats Neurology Partners, Albany, NY (RSM)</w:t>
      </w:r>
    </w:p>
    <w:p>
      <w:r>
        <w:rPr>
          <w:sz w:val="21"/>
        </w:rPr>
      </w:r>
    </w:p>
    <w:p>
      <w:r>
        <w:rPr>
          <w:sz w:val="21"/>
        </w:rPr>
        <w:t>A fragmented visit over quick coffee; schedule was tight.</w:t>
      </w:r>
    </w:p>
    <w:p>
      <w:r>
        <w:rPr>
          <w:sz w:val="21"/>
        </w:rPr>
      </w:r>
    </w:p>
    <w:p>
      <w:r>
        <w:rPr>
          <w:sz w:val="21"/>
        </w:rPr>
        <w:t>Described practice as early in its experience here, with nothing to report yet.</w:t>
      </w:r>
    </w:p>
    <w:p>
      <w:r>
        <w:rPr>
          <w:sz w:val="21"/>
        </w:rPr>
      </w:r>
    </w:p>
    <w:p>
      <w:r>
        <w:rPr>
          <w:sz w:val="21"/>
        </w:rPr>
        <w:t>The prior-authorization workflow changed again last month, and that took up first part of convo.</w:t>
      </w:r>
    </w:p>
    <w:p>
      <w:r>
        <w:rPr>
          <w:sz w:val="21"/>
        </w:rPr>
      </w:r>
    </w:p>
    <w:p>
      <w:r>
        <w:rPr>
          <w:sz w:val="21"/>
        </w:rPr>
        <w:t>Asked whether I would be at meeting later this year.</w:t>
      </w:r>
    </w:p>
    <w:p>
      <w:r>
        <w:rPr>
          <w:sz w:val="21"/>
        </w:rPr>
      </w:r>
    </w:p>
    <w:p>
      <w:r>
        <w:rPr>
          <w:sz w:val="21"/>
        </w:rPr>
        <w:t>Monitoring intervals during titration are set by clinic routine here rather than by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