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August 10, 2021   |   From: Priya Menon,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Anouk Brannigan, MD, Windrow Neuroscience Center, Eugene, OR (RSM)</w:t>
      </w:r>
    </w:p>
    <w:p>
      <w:r>
        <w:rPr>
          <w:sz w:val="21"/>
        </w:rPr>
        <w:t>&gt; Caught a full window outside the EEG suite between patients.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The scheduling system is still being sorted out,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Lukas Ravenscroft, MD, Fox Hollow Neurology Partners, Mobile, AL (RSM)</w:t>
      </w:r>
    </w:p>
    <w:p>
      <w:r>
        <w:rPr>
          <w:sz w:val="21"/>
        </w:rPr>
        <w:t>&gt; A short meeting in the shared office, first one this quarter.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Renata Cavanaugh, MD, Northbrook Neurology Institute, Albany, NY (RSM)</w:t>
      </w:r>
    </w:p>
    <w:p>
      <w:r>
        <w:rPr>
          <w:sz w:val="21"/>
        </w:rPr>
        <w:t>&gt; Noted that coverage paperwork is handled by one person here and that this is not specific to any one product.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</w:r>
    </w:p>
    <w:p>
      <w:r>
        <w:rPr>
          <w:b/>
          <w:sz w:val="21"/>
        </w:rPr>
        <w:t>Niamh Ostrander, MD, Bayview Health Neurology, Burlington, VT (RSM)</w:t>
      </w:r>
    </w:p>
    <w:p>
      <w:r>
        <w:rPr>
          <w:sz w:val="21"/>
        </w:rPr>
        <w:t>&gt; Formulary questions is handled by one person here, which came up as a general frustration.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Walter Brandt, MD, Flint Hills Neuroscience, Wichita, KS (AR)</w:t>
      </w:r>
    </w:p>
    <w:p>
      <w:r>
        <w:rPr>
          <w:sz w:val="21"/>
        </w:rPr>
        <w:t>&gt; A full visit in the conference room; the schedule was tight.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A half-hour visit outside the EEG suite; the schedule was tight.</w:t>
      </w:r>
    </w:p>
    <w:p>
      <w:r>
        <w:rPr>
          <w:sz w:val="21"/>
        </w:rPr>
        <w:t>&gt; The composition of the refractory group has shifted over the last year or two.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Bram Marchetti, MD, Palmetto Neurology Institute, Waco, TX (RSM)</w:t>
      </w:r>
    </w:p>
    <w:p>
      <w:r>
        <w:rPr>
          <w:sz w:val="21"/>
        </w:rPr>
        <w:t>&gt; A compressed conversation at the nurses' station, mostly logistics.</w:t>
      </w:r>
    </w:p>
    <w:p>
      <w:r>
        <w:rPr>
          <w:sz w:val="21"/>
        </w:rPr>
        <w:t>&gt; The prior-authorization workflow is still being sorted out, and that took up the first part of the conversation.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Bastian Grierson, MD, Copperfield Neurology Institute, Trenton, NJ (RSM)</w:t>
      </w:r>
    </w:p>
    <w:p>
      <w:r>
        <w:rPr>
          <w:sz w:val="21"/>
        </w:rPr>
        <w:t>&gt; A compressed conversation between clinic blocks, mostly logistics.</w:t>
      </w:r>
    </w:p>
    <w:p>
      <w:r>
        <w:rPr>
          <w:sz w:val="21"/>
        </w:rPr>
        <w:t>&gt; Coverage paperwork is handled by one person here, which came up as a general frustration.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Arvind Wainwright, MD, Bayview Health Neurology, Jackson, MS (RSM)</w:t>
      </w:r>
    </w:p>
    <w:p>
      <w:r>
        <w:rPr>
          <w:sz w:val="21"/>
        </w:rPr>
        <w:t>&gt; The phone triage line has not settled, and that took up the first part of the conversation.</w:t>
      </w:r>
    </w:p>
    <w:p>
      <w:r>
        <w:rPr>
          <w:sz w:val="21"/>
        </w:rPr>
        <w:t>&gt; Formulary questions varies by payer, which came up as a general frustration.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Rosalind Kettleborn, MD, Ember Lake Medical Group, Providence, RI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Pallavi Wainwright, MD, Bluestem Comprehensive Epilepsy Clinic, Savannah, GA (RSM)</w:t>
      </w:r>
    </w:p>
    <w:p>
      <w:r>
        <w:rPr>
          <w:sz w:val="21"/>
        </w:rPr>
        <w:t>&gt; Caught a half-hour window by the scheduling desk between patients.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The practice lost a front-desk coordinator and has not backfilled, so the referral queue is slowly recovering.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