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October 11, 2021   |   MSL: Ingrid Halvorsen</w:t>
      </w:r>
    </w:p>
    <w:p>
      <w:r>
        <w:rPr>
          <w:b/>
          <w:sz w:val="21"/>
        </w:rPr>
        <w:t>HCP: Ulrike Abernathy, MD, Bayview Health Neurology, Bakersfield, CA (RSM)</w:t>
      </w:r>
    </w:p>
    <w:p>
      <w:r>
        <w:rPr>
          <w:sz w:val="21"/>
        </w:rPr>
      </w:r>
    </w:p>
    <w:p>
      <w:r>
        <w:rPr>
          <w:sz w:val="21"/>
        </w:rPr>
        <w:t>A twenty-minute meeting at the end of the clinic list, first one this quarter.</w:t>
      </w:r>
    </w:p>
    <w:p>
      <w:r>
        <w:rPr>
          <w:sz w:val="21"/>
        </w:rPr>
      </w:r>
    </w:p>
    <w:p>
      <w:r>
        <w:rPr>
          <w:sz w:val="21"/>
        </w:rPr>
        <w:t>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sz w:val="21"/>
        </w:rPr>
        <w:t>The practice lost a front-desk coordinator and has not backfilled, so the referral queue has stretched out.</w:t>
      </w:r>
    </w:p>
    <w:p>
      <w:r>
        <w:rPr>
          <w:sz w:val="21"/>
        </w:rPr>
      </w:r>
    </w:p>
    <w:p>
      <w:r>
        <w:rPr>
          <w:sz w:val="21"/>
        </w:rPr>
        <w:t>Formulary questions takes longer than the clinical decision, which came up as a general frustration.</w:t>
      </w:r>
    </w:p>
    <w:p>
      <w:r>
        <w:rPr>
          <w:sz w:val="21"/>
        </w:rPr>
      </w:r>
    </w:p>
    <w:p>
      <w:r>
        <w:rPr>
          <w:sz w:val="21"/>
        </w:rPr>
        <w:t>Referenced a case series someone forwarded in passing.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