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April 23, 2022   |   MSL: Priya Menon</w:t>
      </w:r>
    </w:p>
    <w:p>
      <w:r>
        <w:rPr>
          <w:b/>
          <w:sz w:val="21"/>
        </w:rPr>
        <w:t>HCP: Ulrike Dellacroix, MD, Silver Creek Medical Group, Allentown, PA (RSM)</w:t>
      </w:r>
    </w:p>
    <w:p>
      <w:r>
        <w:rPr>
          <w:sz w:val="21"/>
        </w:rPr>
      </w:r>
    </w:p>
    <w:p>
      <w:r>
        <w:rPr>
          <w:sz w:val="21"/>
        </w:rPr>
        <w:t>A full conversation between clinic blocks, mostly logistics.</w:t>
      </w:r>
    </w:p>
    <w:p>
      <w:r>
        <w:rPr>
          <w:sz w:val="21"/>
        </w:rPr>
      </w:r>
    </w:p>
    <w:p>
      <w:r>
        <w:rPr>
          <w:sz w:val="21"/>
        </w:rPr>
        <w:t>Most of the discussion was about the referral intake process, which changed again last month.</w:t>
      </w:r>
    </w:p>
    <w:p>
      <w:r>
        <w:rPr>
          <w:sz w:val="21"/>
        </w:rPr>
      </w:r>
    </w:p>
    <w:p>
      <w:r>
        <w:rPr>
          <w:sz w:val="21"/>
        </w:rPr>
        <w:t>Formulary placement was the only product-adjacent topic, and only in general terms.</w:t>
      </w:r>
    </w:p>
    <w:p>
      <w:r>
        <w:rPr>
          <w:sz w:val="21"/>
        </w:rPr>
      </w:r>
    </w:p>
    <w:p>
      <w:r>
        <w:rPr>
          <w:sz w:val="21"/>
        </w:rPr>
        <w:t>Described a preference for slower titration in general, unrelated to any particular patient.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