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July 11, 2022   |   MSL: Marcus Obeng</w:t>
      </w:r>
    </w:p>
    <w:p>
      <w:r>
        <w:rPr>
          <w:b/>
          <w:sz w:val="21"/>
        </w:rPr>
        <w:t>HCP: Nikolai Zeitler, MD, Juniper Flats Neurology Partners, Allentown, PA (RSM)</w:t>
      </w:r>
    </w:p>
    <w:p>
      <w:r>
        <w:rPr>
          <w:sz w:val="21"/>
        </w:rPr>
      </w:r>
    </w:p>
    <w:p>
      <w:r>
        <w:rPr>
          <w:sz w:val="21"/>
        </w:rPr>
        <w:t>Stopped by by the scheduling desk for twenty-minute conversation.</w:t>
      </w:r>
    </w:p>
    <w:p>
      <w:r>
        <w:rPr>
          <w:sz w:val="21"/>
        </w:rPr>
      </w:r>
    </w:p>
    <w:p>
      <w:r>
        <w:rPr>
          <w:sz w:val="21"/>
        </w:rPr>
        <w:t>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sz w:val="21"/>
        </w:rPr>
        <w:t>The scheduling system changed again last month, and that took up first part of convo.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