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November 20, 2022   |   MSL: Priya Menon</w:t>
      </w:r>
    </w:p>
    <w:p>
      <w:r>
        <w:rPr>
          <w:b/>
          <w:sz w:val="21"/>
        </w:rPr>
        <w:t>HCP: Robert Enloe, MD, High Desert Neurology, Boise, ID (AR)</w:t>
      </w:r>
    </w:p>
    <w:p>
      <w:r>
        <w:rPr>
          <w:sz w:val="21"/>
        </w:rPr>
      </w:r>
    </w:p>
    <w:p>
      <w:r>
        <w:rPr>
          <w:sz w:val="21"/>
        </w:rPr>
        <w:t>Stopped by in the back office for a twenty-minute conversation.</w:t>
      </w:r>
    </w:p>
    <w:p>
      <w:r>
        <w:rPr>
          <w:sz w:val="21"/>
        </w:rPr>
      </w:r>
    </w:p>
    <w:p>
      <w:r>
        <w:rPr>
          <w:sz w:val="21"/>
        </w:rPr>
        <w:t>The travel schedule this year came up, and little else.</w:t>
      </w:r>
    </w:p>
    <w:p>
      <w:r>
        <w:rPr>
          <w:sz w:val="21"/>
        </w:rPr>
      </w:r>
    </w:p>
    <w:p>
      <w:r>
        <w:rPr>
          <w:sz w:val="21"/>
        </w:rPr>
        <w:t>Described a preference for slower titration in general, unrelated to any particular patient.</w:t>
      </w:r>
    </w:p>
    <w:p>
      <w:r>
        <w:rPr>
          <w:sz w:val="21"/>
        </w:rPr>
      </w:r>
    </w:p>
    <w:p>
      <w:r>
        <w:rPr>
          <w:sz w:val="21"/>
        </w:rPr>
        <w:t>Onboarding a rotating resident is the current preoccupation here.</w:t>
      </w:r>
    </w:p>
    <w:p>
      <w:r>
        <w:rPr>
          <w:sz w:val="21"/>
        </w:rPr>
      </w:r>
    </w:p>
    <w:p>
      <w:r>
        <w:rPr>
          <w:sz w:val="21"/>
        </w:rPr>
        <w:t>Described the practice as early in its experience here, with nothing to report yet.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