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February 26, 2023   |   MSL: Dana Cho</w:t>
      </w:r>
    </w:p>
    <w:p>
      <w:r>
        <w:rPr>
          <w:b/>
          <w:sz w:val="21"/>
        </w:rPr>
        <w:t>HCP: Rohan Vasquez-Lund, MD, Ember Lake Medical Group, Omaha, NE (RSM)</w:t>
      </w:r>
    </w:p>
    <w:p>
      <w:r>
        <w:rPr>
          <w:sz w:val="21"/>
        </w:rPr>
      </w:r>
    </w:p>
    <w:p>
      <w:r>
        <w:rPr>
          <w:sz w:val="21"/>
        </w:rPr>
        <w:t>A clipped meeting between clinic blocks, first one this quarter.</w:t>
      </w:r>
    </w:p>
    <w:p>
      <w:r>
        <w:rPr>
          <w:sz w:val="21"/>
        </w:rPr>
      </w:r>
    </w:p>
    <w:p>
      <w:r>
        <w:rPr>
          <w:sz w:val="21"/>
        </w:rPr>
        <w:t>The new-patient backlog has stretched out since the summer, which shapes how much time there is for anything else.</w:t>
      </w:r>
    </w:p>
    <w:p>
      <w:r>
        <w:rPr>
          <w:sz w:val="21"/>
        </w:rPr>
      </w:r>
    </w:p>
    <w:p>
      <w:r>
        <w:rPr>
          <w:sz w:val="21"/>
        </w:rPr>
        <w:t>Described how the pediatric-to-adult transfers is triaged now compared with before.</w:t>
      </w:r>
    </w:p>
    <w:p>
      <w:r>
        <w:rPr>
          <w:sz w:val="21"/>
        </w:rPr>
      </w:r>
    </w:p>
    <w:p>
      <w:r>
        <w:rPr>
          <w:sz w:val="21"/>
        </w:rPr>
        <w:t>Most of the discussion was about the patient portal, which changed again last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