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March 14, 2023   |   From: Ingrid Halvorsen,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Malika Fairweather, MD, Highmoor Health Neurology, Worcester, MA (RSM)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Referral patterns into this clinic have changed, adn long-standing patients is a bigger share than it was.</w:t>
      </w:r>
    </w:p>
    <w:p>
      <w:r>
        <w:rPr>
          <w:sz w:val="21"/>
        </w:rPr>
        <w:t>&gt; The practice lost teh clinic pharmacist and has not backfilled, so clinic throughput keeps slipping.</w:t>
      </w:r>
    </w:p>
    <w:p>
      <w:r>
        <w:rPr>
          <w:sz w:val="21"/>
        </w:rPr>
        <w:t>&gt; Most of teh discussion was about the new charting templates, which went live without much warning.</w:t>
      </w:r>
    </w:p>
    <w:p>
      <w:r>
        <w:rPr>
          <w:sz w:val="21"/>
        </w:rPr>
        <w:t>&gt; Left it at that, wtih a call later this month to be scheduled.</w:t>
      </w:r>
    </w:p>
    <w:p>
      <w:r>
        <w:rPr>
          <w:sz w:val="21"/>
        </w:rPr>
      </w:r>
    </w:p>
    <w:p>
      <w:r>
        <w:rPr>
          <w:b/>
          <w:sz w:val="21"/>
        </w:rPr>
        <w:t>Lukas Lammermoor, MD, Saltmarsh Neurological Care Center, Peoria, IL (AR)</w:t>
      </w:r>
    </w:p>
    <w:p>
      <w:r>
        <w:rPr>
          <w:sz w:val="21"/>
        </w:rPr>
        <w:t>&gt; Caught a clipped window by the scheduling desk between patients.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Marcus Boudreaux, MD, Bayou Regional Epilepsy Center, Baton Rouge, LA (RSM)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Closed there — no materials requested.</w:t>
      </w:r>
    </w:p>
    <w:p>
      <w:r>
        <w:rPr>
          <w:sz w:val="21"/>
        </w:rPr>
      </w:r>
    </w:p>
    <w:p>
      <w:r>
        <w:rPr>
          <w:b/>
          <w:sz w:val="21"/>
        </w:rPr>
        <w:t>Imani Kilbride, MD, Northgate Neurology Partners, Spokane, WA (AR)</w:t>
      </w:r>
    </w:p>
    <w:p>
      <w:r>
        <w:rPr>
          <w:sz w:val="21"/>
        </w:rPr>
        <w:t>&gt; An unhurried conversation in the shared office, mostly logistics.</w:t>
      </w:r>
    </w:p>
    <w:p>
      <w:r>
        <w:rPr>
          <w:sz w:val="21"/>
        </w:rPr>
        <w:t>&gt; Noted that the appeals process is handled by one person here and that this is not specific to any one product.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Victor Salas, MD, Hill Country Neuroscience Institute, Austin, TX (RSM)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Yannick Harkness, MD, Granite Bay Epilepsy Center, Hartford, CT (RSM)</w:t>
      </w:r>
    </w:p>
    <w:p>
      <w:r>
        <w:rPr>
          <w:sz w:val="21"/>
        </w:rPr>
        <w:t>&gt; The prior-authorization workflow is being piloted this quarter, and that took up the first part of the conversation.</w:t>
      </w:r>
    </w:p>
    <w:p>
      <w:r>
        <w:rPr>
          <w:sz w:val="21"/>
        </w:rPr>
        <w:t>&gt; Talked through the older half of the panel in general terms, without any specific case.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The appeals process has improved somewhat,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Saoirse Wycliffe, MD, Granite Bay Epilepsy Center, Bakersfield, CA (RSM)</w:t>
      </w:r>
    </w:p>
    <w:p>
      <w:r>
        <w:rPr>
          <w:sz w:val="21"/>
        </w:rPr>
        <w:t>&gt; An unexpectedly long conversation in the back office, mostly logistics.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Routine follow-up slots has stretched out since the summer, which shapes how much time there is for anything else.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Selin Eastmond, MD, Windrow Neuroscience Center, Savannah, GA (RSM)</w:t>
      </w:r>
    </w:p>
    <w:p>
      <w:r>
        <w:rPr>
          <w:sz w:val="21"/>
        </w:rPr>
        <w:t>&gt; Caught an unhurried window in the corridor between patients.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A twenty-minute visit in the corridor; the schedule was tight.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  <w:t>&gt; The practice lost a rotating resident and has not backfilled, so the new-patient backlog looks better than last year.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