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b/>
          <w:sz w:val="21"/>
        </w:rPr>
        <w:t>Field Medical Highlights — XCOPRI (cenobamate)</w:t>
      </w:r>
    </w:p>
    <w:p>
      <w:r>
        <w:rPr>
          <w:sz w:val="21"/>
        </w:rPr>
        <w:t>Date: June 13, 2023   |   From: Ravi Chandrasek, Marcus Obeng</w:t>
      </w:r>
    </w:p>
    <w:p>
      <w:r>
        <w:rPr>
          <w:sz w:val="21"/>
        </w:rPr>
      </w:r>
    </w:p>
    <w:p>
      <w:r>
        <w:rPr>
          <w:b/>
          <w:sz w:val="21"/>
        </w:rPr>
        <w:t>FIELD MEDICAL INSIGHTS</w:t>
      </w:r>
    </w:p>
    <w:p>
      <w:r>
        <w:rPr>
          <w:sz w:val="21"/>
        </w:rPr>
      </w:r>
    </w:p>
    <w:p>
      <w:r>
        <w:rPr>
          <w:b/>
          <w:sz w:val="21"/>
        </w:rPr>
        <w:t>Ulrike Silverthorne, MD, Silver Creek Medical Group, Madison, WI (AR)</w:t>
      </w:r>
    </w:p>
    <w:p>
      <w:r>
        <w:rPr>
          <w:sz w:val="21"/>
        </w:rPr>
        <w:t>&gt; A fragmented conversation in the corridor, mostly logistics.</w:t>
      </w:r>
    </w:p>
    <w:p>
      <w:r>
        <w:rPr>
          <w:sz w:val="21"/>
        </w:rPr>
        <w:t>&gt; The practice lost a rotating resident and has not backfilled, so the new-patient backlog has stretched out.</w:t>
      </w:r>
    </w:p>
    <w:p>
      <w:r>
        <w:rPr>
          <w:sz w:val="21"/>
        </w:rPr>
        <w:t>&gt; Monitoring intervals during titration are set by clinic routine here rather than by protocol.</w:t>
      </w:r>
    </w:p>
    <w:p>
      <w:r>
        <w:rPr>
          <w:sz w:val="21"/>
        </w:rPr>
      </w:r>
    </w:p>
    <w:p>
      <w:r>
        <w:rPr>
          <w:b/>
          <w:sz w:val="21"/>
        </w:rPr>
        <w:t>Kenji Prendergast, MD, Alder Point Neurology Associates, Allentown, PA (AR)</w:t>
      </w:r>
    </w:p>
    <w:p>
      <w:r>
        <w:rPr>
          <w:sz w:val="21"/>
        </w:rPr>
        <w:t>&gt; Caught an unhurried window at the end of the clinic list between patients.</w:t>
      </w:r>
    </w:p>
    <w:p>
      <w:r>
        <w:rPr>
          <w:sz w:val="21"/>
        </w:rPr>
        <w:t>&gt; Most of the discussion was about the scheduling system, which has not settled.</w:t>
      </w:r>
    </w:p>
    <w:p>
      <w:r>
        <w:rPr>
          <w:sz w:val="21"/>
        </w:rPr>
        <w:t>&gt; The phone triage line went live without much warning, and that took up the first part of the conversation.</w:t>
      </w:r>
    </w:p>
    <w:p>
      <w:r>
        <w:rPr>
          <w:sz w:val="21"/>
        </w:rPr>
        <w:t>&gt; Asked whether I would be at the meeting later this year.</w:t>
      </w:r>
    </w:p>
    <w:p>
      <w:r>
        <w:rPr>
          <w:sz w:val="21"/>
        </w:rPr>
        <w:t>&gt; Nothing that needed follow-up. Safety items asked about and confirmed none.</w:t>
      </w:r>
    </w:p>
    <w:p>
      <w:r>
        <w:rPr>
          <w:sz w:val="21"/>
        </w:rPr>
      </w:r>
    </w:p>
    <w:p>
      <w:r>
        <w:rPr>
          <w:b/>
          <w:sz w:val="21"/>
        </w:rPr>
        <w:t>Eloise Underhill, MD, Northgate Neurology Partners, Fort Wayne, IN (RSM)</w:t>
      </w:r>
    </w:p>
    <w:p>
      <w:r>
        <w:rPr>
          <w:sz w:val="21"/>
        </w:rPr>
        <w:t>&gt; Caught a clipped window at the nurses' station between patients.</w:t>
      </w:r>
    </w:p>
    <w:p>
      <w:r>
        <w:rPr>
          <w:sz w:val="21"/>
        </w:rPr>
        <w:t>&gt; Nothing actionable this visit this time. Asked about safety and confirmed nothing to report.</w:t>
      </w:r>
    </w:p>
    <w:p>
      <w:r>
        <w:rPr>
          <w:sz w:val="21"/>
        </w:rPr>
        <w:t>&gt; Spent some time on the pediatric-to-adult transfers and how workup decisions get sequenced.</w:t>
      </w:r>
    </w:p>
    <w:p>
      <w:r>
        <w:rPr>
          <w:sz w:val="21"/>
        </w:rPr>
        <w:t>&gt; The referral queue looks better than last year since the summer, which shapes how much time there is for anything else.</w:t>
      </w:r>
    </w:p>
    <w:p>
      <w:r>
        <w:rPr>
          <w:sz w:val="21"/>
        </w:rPr>
        <w:t>&gt; The composition of newly referred patients has shifted over the last year or two.</w:t>
      </w:r>
    </w:p>
    <w:p>
      <w:r>
        <w:rPr>
          <w:sz w:val="21"/>
        </w:rPr>
      </w:r>
    </w:p>
    <w:p>
      <w:r>
        <w:rPr>
          <w:b/>
          <w:sz w:val="21"/>
        </w:rPr>
        <w:t>Silvio Barrowman, MD, Beacon Hill Neurology Associates, Providence, RI (AR)</w:t>
      </w:r>
    </w:p>
    <w:p>
      <w:r>
        <w:rPr>
          <w:sz w:val="21"/>
        </w:rPr>
        <w:t>&gt; A half-hour conversation at the end of the clinic list, mostly logistics.</w:t>
      </w:r>
    </w:p>
    <w:p>
      <w:r>
        <w:rPr>
          <w:sz w:val="21"/>
        </w:rPr>
        <w:t>&gt; Described how newly referred patients is triaged now compared with before.</w:t>
      </w:r>
    </w:p>
    <w:p>
      <w:r>
        <w:rPr>
          <w:sz w:val="21"/>
        </w:rPr>
        <w:t>&gt; Described a preference for slower titration in general, unrelated to any particular patient.</w:t>
      </w:r>
    </w:p>
    <w:p>
      <w:r>
        <w:rPr>
          <w:sz w:val="21"/>
        </w:rPr>
      </w:r>
    </w:p>
    <w:p>
      <w:r>
        <w:rPr>
          <w:b/>
          <w:sz w:val="21"/>
        </w:rPr>
        <w:t>Imani Kilbride, MD, Northgate Neurology Partners, Spokane, WA (AR)</w:t>
      </w:r>
    </w:p>
    <w:p>
      <w:r>
        <w:rPr>
          <w:sz w:val="21"/>
        </w:rPr>
        <w:t>&gt; An unexpectedly long conversation by the scheduling desk, mostly logistics.</w:t>
      </w:r>
    </w:p>
    <w:p>
      <w:r>
        <w:rPr>
          <w:sz w:val="21"/>
        </w:rPr>
        <w:t>&gt; Spent some time on the surgical workup list and how workup decisions get sequenced.</w:t>
      </w:r>
    </w:p>
    <w:p>
      <w:r>
        <w:rPr>
          <w:sz w:val="21"/>
        </w:rPr>
        <w:t>&gt; Titration habits came up in general terms; no specifics were discussed and none were offered.</w:t>
      </w:r>
    </w:p>
    <w:p>
      <w:r>
        <w:rPr>
          <w:sz w:val="21"/>
        </w:rPr>
        <w:t>&gt; Referral patterns into this clinic have changed, and long-standing patients is a bigger share than it was.</w:t>
      </w:r>
    </w:p>
    <w:p>
      <w:r>
        <w:rPr>
          <w:sz w:val="21"/>
        </w:rPr>
        <w:t>&gt; Mentioned a case series someone forwarded but did not raise any specific finding.</w:t>
      </w:r>
    </w:p>
    <w:p>
      <w:r>
        <w:rPr>
          <w:sz w:val="21"/>
        </w:rPr>
      </w:r>
    </w:p>
    <w:p>
      <w:r>
        <w:rPr>
          <w:b/>
          <w:sz w:val="21"/>
        </w:rPr>
        <w:t>Ilse Beauchamp, MD, Harborlight Epilepsy Center, Lakeland, FL (RSM)</w:t>
      </w:r>
    </w:p>
    <w:p>
      <w:r>
        <w:rPr>
          <w:sz w:val="21"/>
        </w:rPr>
        <w:t>&gt; The referral queue is slowly recovering since the summer, which shapes how much time there is for anything else.</w:t>
      </w:r>
    </w:p>
    <w:p>
      <w:r>
        <w:rPr>
          <w:sz w:val="21"/>
        </w:rPr>
        <w:t>&gt; The composition of the surgical workup list has shifted over the last year or two.</w:t>
      </w:r>
    </w:p>
    <w:p>
      <w:r>
        <w:rPr>
          <w:sz w:val="21"/>
        </w:rPr>
        <w:t>&gt; Described how the pediatric-to-adult transfers is triaged now compared with before.</w:t>
      </w:r>
    </w:p>
    <w:p>
      <w:r>
        <w:rPr>
          <w:sz w:val="21"/>
        </w:rPr>
      </w:r>
    </w:p>
    <w:p>
      <w:r>
        <w:rPr>
          <w:b/>
          <w:sz w:val="21"/>
        </w:rPr>
        <w:t>Tobias Hollingsworth, MD, Copperfield Neurology Institute, Mobile, AL (RSM)</w:t>
      </w:r>
    </w:p>
    <w:p>
      <w:r>
        <w:rPr>
          <w:sz w:val="21"/>
        </w:rPr>
        <w:t>&gt; Most of the discussion was about the new charting templates, which has not settled.</w:t>
      </w:r>
    </w:p>
    <w:p>
      <w:r>
        <w:rPr>
          <w:sz w:val="21"/>
        </w:rPr>
        <w:t>&gt; Mentioned a case series someone forwarded but did not raise any specific finding.</w:t>
      </w:r>
    </w:p>
    <w:p>
      <w:r>
        <w:rPr>
          <w:sz w:val="21"/>
        </w:rPr>
        <w:t>&gt; Coverage paperwork takes longer than the clinical decision, which came up as a general frustration.</w:t>
      </w:r>
    </w:p>
    <w:p>
      <w:r>
        <w:rPr>
          <w:sz w:val="21"/>
        </w:rPr>
        <w:t>&gt; Mostly small talk about the program and the venue.</w:t>
      </w:r>
    </w:p>
    <w:p>
      <w:r>
        <w:rPr>
          <w:sz w:val="21"/>
        </w:rPr>
      </w:r>
    </w:p>
    <w:p>
      <w:r>
        <w:rPr>
          <w:b/>
          <w:sz w:val="21"/>
        </w:rPr>
        <w:t>Bram Merriwether, MD, Willowmere Neuroscience Center, Toledo, OH (RSM)</w:t>
      </w:r>
    </w:p>
    <w:p>
      <w:r>
        <w:rPr>
          <w:sz w:val="21"/>
        </w:rPr>
        <w:t>&gt; Stopped by at the nurses' station for a twenty-minute conversation.</w:t>
      </w:r>
    </w:p>
    <w:p>
      <w:r>
        <w:rPr>
          <w:sz w:val="21"/>
        </w:rPr>
        <w:t>&gt; Referenced a session summary from a colleague in passing.</w:t>
      </w:r>
    </w:p>
    <w:p>
      <w:r>
        <w:rPr>
          <w:sz w:val="21"/>
        </w:rPr>
        <w:t>&gt; Referral patterns into this clinic have changed, and long-standing patients is a bigger share than it was.</w:t>
      </w:r>
    </w:p>
    <w:p>
      <w:r>
        <w:rPr>
          <w:sz w:val="21"/>
        </w:rPr>
        <w:t>&gt; Agreed to reconnect at a call later this month; no product discussion.</w:t>
      </w:r>
    </w:p>
    <w:p>
      <w:r>
        <w:rPr>
          <w:sz w:val="21"/>
        </w:rPr>
      </w:r>
    </w:p>
    <w:p>
      <w:r>
        <w:rPr>
          <w:b/>
          <w:sz w:val="21"/>
        </w:rPr>
        <w:t>Mateo Zeitler, MD, Northbrook Neurology Institute, Fayetteville, NC (RSM)</w:t>
      </w:r>
    </w:p>
    <w:p>
      <w:r>
        <w:rPr>
          <w:sz w:val="21"/>
        </w:rPr>
        <w:t>&gt; A clipped meeting at the end of the clinic list, first one this quarter.</w:t>
      </w:r>
    </w:p>
    <w:p>
      <w:r>
        <w:rPr>
          <w:sz w:val="21"/>
        </w:rPr>
        <w:t>&gt; Referral patterns into this clinic have changed, and the older half of the panel is a bigger share than it was.</w:t>
      </w:r>
    </w:p>
    <w:p>
      <w:r>
        <w:rPr>
          <w:sz w:val="21"/>
        </w:rPr>
        <w:t>&gt; The composition of long-standing patients has shifted over the last year or two.</w:t>
      </w:r>
    </w:p>
    <w:p>
      <w:r>
        <w:rPr>
          <w:sz w:val="21"/>
        </w:rPr>
        <w:t>&gt; Noted that benefit checks remains the slowest step and that this is not specific to any one product.</w:t>
      </w:r>
    </w:p>
    <w:p>
      <w:r>
        <w:rPr>
          <w:sz w:val="21"/>
        </w:rPr>
        <w:t>&gt; Most of the discussion was about the scheduling system, which went live without much warning.</w:t>
      </w:r>
    </w:p>
    <w:p>
      <w:r>
        <w:rPr>
          <w:sz w:val="21"/>
        </w:rPr>
      </w:r>
    </w:p>
    <w:p>
      <w:r>
        <w:rPr>
          <w:b/>
          <w:sz w:val="21"/>
        </w:rPr>
        <w:t>Wilhelmina Corliss, MD, Marbury Neurological Care Center, Roanoke, VA (AR)</w:t>
      </w:r>
    </w:p>
    <w:p>
      <w:r>
        <w:rPr>
          <w:sz w:val="21"/>
        </w:rPr>
        <w:t>&gt; Stopped by at the end of the clinic list for an unexpectedly long conversation.</w:t>
      </w:r>
    </w:p>
    <w:p>
      <w:r>
        <w:rPr>
          <w:sz w:val="21"/>
        </w:rPr>
        <w:t>&gt; The travel schedule this year came up, and little else.</w:t>
      </w:r>
    </w:p>
    <w:p>
      <w:r>
        <w:rPr>
          <w:sz w:val="21"/>
        </w:rPr>
        <w:t>&gt; Described a preference for slower titration in general, unrelated to any particular patient.</w:t>
      </w:r>
    </w:p>
    <w:p>
      <w:r>
        <w:rPr>
          <w:sz w:val="21"/>
        </w:rPr>
        <w:t>&gt; Noted that the appeals process is handled by one person here and that this is not specific to any one product.</w:t>
      </w:r>
    </w:p>
    <w:p>
      <w:r>
        <w:rPr>
          <w:sz w:val="21"/>
        </w:rPr>
        <w:t>&gt; Asked whether I had seen a review that circulated on the service; I had not, and offered nothing in return.</w:t>
      </w:r>
    </w:p>
    <w:p>
      <w:r>
        <w:rPr>
          <w:sz w:val="21"/>
        </w:rPr>
      </w:r>
    </w:p>
    <w:p>
      <w:r>
        <w:rPr>
          <w:b/>
          <w:sz w:val="21"/>
        </w:rPr>
        <w:t>Hadley Ivanetti, MD, Highmoor Health Neurology, Scranton, PA (RSM)</w:t>
      </w:r>
    </w:p>
    <w:p>
      <w:r>
        <w:rPr>
          <w:sz w:val="21"/>
        </w:rPr>
        <w:t>&gt; Nothing that needed follow-up this time. Asked about safety and confirmed nothing to report.</w:t>
      </w:r>
    </w:p>
    <w:p>
      <w:r>
        <w:rPr>
          <w:sz w:val="21"/>
        </w:rPr>
        <w:t>&gt; The practice lost one of the nurse practitioners and has not backfilled, so clinic throughput has stretched out.</w:t>
      </w:r>
    </w:p>
    <w:p>
      <w:r>
        <w:rPr>
          <w:sz w:val="21"/>
        </w:rPr>
        <w:t>&gt; Described how the refractory group is triaged now compared with before.</w:t>
      </w:r>
    </w:p>
    <w:p>
      <w:r>
        <w:rPr>
          <w:sz w:val="21"/>
        </w:rPr>
        <w:t>&gt; Spent some time on the surgical workup list and how workup decisions get sequenced.</w:t>
      </w:r>
    </w:p>
    <w:p>
      <w:r>
        <w:rPr>
          <w:sz w:val="21"/>
        </w:rPr>
        <w:t>&gt; Asked whether I had seen a guideline update discussed at journal club; I had not, and offered nothing in return.</w:t>
      </w:r>
    </w:p>
    <w:p>
      <w:r>
        <w:rPr>
          <w:sz w:val="21"/>
        </w:rPr>
      </w:r>
    </w:p>
    <w:p>
      <w:r>
        <w:rPr>
          <w:b/>
          <w:sz w:val="21"/>
        </w:rPr>
        <w:t>Valentina Lindenmuth, MD, Palmetto Neurology Institute, Waco, TX (RSM)</w:t>
      </w:r>
    </w:p>
    <w:p>
      <w:r>
        <w:rPr>
          <w:sz w:val="21"/>
        </w:rPr>
        <w:t>&gt; A productive meeting at the end of the clinic list, first one this quarter.</w:t>
      </w:r>
    </w:p>
    <w:p>
      <w:r>
        <w:rPr>
          <w:sz w:val="21"/>
        </w:rPr>
        <w:t>&gt; Noted that coverage paperwork varies by payer and that this is not specific to any one product.</w:t>
      </w:r>
    </w:p>
    <w:p>
      <w:r>
        <w:rPr>
          <w:sz w:val="21"/>
        </w:rPr>
        <w:t>&gt; Spent some time on newly referred patients and how workup decisions get sequenced.</w:t>
      </w:r>
    </w:p>
    <w:p>
      <w:r>
        <w:rPr>
          <w:sz w:val="21"/>
        </w:rPr>
        <w:t>&gt; Talked through the refractory group in general terms, without any specific case.</w:t>
      </w:r>
    </w:p>
    <w:p>
      <w:r>
        <w:rPr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