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March 2, 2024   |   MSL: Nadia Belhadj</w:t>
      </w:r>
    </w:p>
    <w:p>
      <w:r>
        <w:rPr>
          <w:b/>
          <w:sz w:val="21"/>
        </w:rPr>
        <w:t>HCP: Camila Dunmore, MD, Ironwood Neurology Associates, Lexington, KY (RSM)</w:t>
      </w:r>
    </w:p>
    <w:p>
      <w:r>
        <w:rPr>
          <w:sz w:val="21"/>
        </w:rPr>
      </w:r>
    </w:p>
    <w:p>
      <w:r>
        <w:rPr>
          <w:sz w:val="21"/>
        </w:rPr>
        <w:t>A clipped conversation in the shared office, mostly logistics.</w:t>
      </w:r>
    </w:p>
    <w:p>
      <w:r>
        <w:rPr>
          <w:sz w:val="21"/>
        </w:rPr>
      </w:r>
    </w:p>
    <w:p>
      <w:r>
        <w:rPr>
          <w:sz w:val="21"/>
        </w:rPr>
        <w:t>The composition of long-standing patients has shifted over the last year or two.</w:t>
      </w:r>
    </w:p>
    <w:p>
      <w:r>
        <w:rPr>
          <w:sz w:val="21"/>
        </w:rPr>
      </w:r>
    </w:p>
    <w:p>
      <w:r>
        <w:rPr>
          <w:sz w:val="21"/>
        </w:rPr>
        <w:t>The prior-authorization workflow went live without much warning, and that took up the first part of the conversation.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