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March 11, 2024   |   From: Dana Cho,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Mairead Corliss, MD, Willowmere Neuroscience Center, Hartford, CT (RSM)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  <w:t>&gt; Talked through the refractory group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Gemma Norrington, MD, Foxglove Health Neurology, Portland, ME (RSM)</w:t>
      </w:r>
    </w:p>
    <w:p>
      <w:r>
        <w:rPr>
          <w:sz w:val="21"/>
        </w:rPr>
        <w:t>&gt; Stopped by in the workroom for a compressed conversation.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Noted that benefit checks is handled by one person here and that this is not specific to any one product.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  <w:t>&gt; The patient portal has not settled,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Anouk Underhill, MD, Highmoor Health Neurology, Duluth, MN (RSM)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Odalys Thistlewood, MD, Silver Creek Medical Group, Oakland, CA (RSM)</w:t>
      </w:r>
    </w:p>
    <w:p>
      <w:r>
        <w:rPr>
          <w:sz w:val="21"/>
        </w:rPr>
        <w:t>&gt; A twenty-minute conversation at the nurses' station, mostly logistics.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  <w:t>&gt; Benefit checks varies by payer,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Adaeze Vasquez-Lund, MD, Alder Point Neurology Associates, Allentown, PA (RSM)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Described how newly referred patients is triaged now compared with before.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Yannick Adeyemi-Cole, MD, Willowmere Neuroscience Center, Jackson, MS (RSM)</w:t>
      </w:r>
    </w:p>
    <w:p>
      <w:r>
        <w:rPr>
          <w:sz w:val="21"/>
        </w:rPr>
        <w:t>&gt; An unhurried visit in the back office; the schedule was tight.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Ulrike Oyelaran, MD, Sandhill Neuroscience Center, Sioux Falls, SD (AR)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Xiomara Eversholt, MD, Juniper Flats Neurology Partners, Albany, NY (RSM)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Noted that formulary questions varies by payer and that this is not specific to any one product.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