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September 17, 2024   |   MSL: Rachel Suh</w:t>
      </w:r>
    </w:p>
    <w:p>
      <w:r>
        <w:rPr>
          <w:b/>
          <w:sz w:val="21"/>
        </w:rPr>
        <w:t>HCP: Rasmus Ashgrove, MD, Northgate Neurology Partners, Waco, TX (RSM)</w:t>
      </w:r>
    </w:p>
    <w:p>
      <w:r>
        <w:rPr>
          <w:sz w:val="21"/>
        </w:rPr>
      </w:r>
    </w:p>
    <w:p>
      <w:r>
        <w:rPr>
          <w:sz w:val="21"/>
        </w:rPr>
        <w:t>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sz w:val="21"/>
        </w:rPr>
        <w:t>Referral patterns into this clinic have changed, and the refractory group is a bigger share than it was.</w:t>
      </w:r>
    </w:p>
    <w:p>
      <w:r>
        <w:rPr>
          <w:sz w:val="21"/>
        </w:rPr>
      </w:r>
    </w:p>
    <w:p>
      <w:r>
        <w:rPr>
          <w:sz w:val="21"/>
        </w:rPr>
        <w:t>Formulary questions varies by payer, which came up as a general frustration.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