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1"/>
        </w:rPr>
        <w:t>[SYNTHETIC SAMPLE] Fictional record generated for the DELPHi prototype demo. Names, institutions, and statements are invented; the layout imitates a generic field-medical format. Not a real document and not derived from any real record.</w:t>
      </w:r>
    </w:p>
    <w:p>
      <w:r>
        <w:rPr>
          <w:sz w:val="21"/>
        </w:rPr>
      </w:r>
    </w:p>
    <w:p>
      <w:r>
        <w:rPr>
          <w:sz w:val="21"/>
        </w:rPr>
        <w:t>Interaction Note   |   Date: October 17, 2024   |   MSL: Sam Becker</w:t>
      </w:r>
    </w:p>
    <w:p>
      <w:r>
        <w:rPr>
          <w:b/>
          <w:sz w:val="21"/>
        </w:rPr>
        <w:t>HCP: Tadeo Ravenscroft, MD, Alder Point Neurology Associates, Peoria, IL (RSM)</w:t>
      </w:r>
    </w:p>
    <w:p>
      <w:r>
        <w:rPr>
          <w:sz w:val="21"/>
        </w:rPr>
      </w:r>
    </w:p>
    <w:p>
      <w:r>
        <w:rPr>
          <w:sz w:val="21"/>
        </w:rPr>
        <w:t>The composition of the pediatric-to-adult transfers has shifted over the last year or two.</w:t>
      </w:r>
    </w:p>
    <w:p>
      <w:r>
        <w:rPr>
          <w:sz w:val="21"/>
        </w:rPr>
      </w:r>
    </w:p>
    <w:p>
      <w:r>
        <w:rPr>
          <w:sz w:val="21"/>
        </w:rPr>
        <w:t>Titration scheduling is handled by nursing staff, which the practice finds workable.</w:t>
      </w:r>
    </w:p>
    <w:p>
      <w:r>
        <w:rPr>
          <w:sz w:val="21"/>
        </w:rPr>
      </w:r>
    </w:p>
    <w:p>
      <w:r>
        <w:rPr>
          <w:sz w:val="21"/>
        </w:rPr>
        <w:t>Asked about my travel schedule, since visits keep landing on the busiest clinic days.</w:t>
      </w:r>
    </w:p>
    <w:p>
      <w:r>
        <w:rPr>
          <w:sz w:val="21"/>
        </w:rPr>
      </w:r>
    </w:p>
    <w:p>
      <w:r>
        <w:rPr>
          <w:sz w:val="21"/>
        </w:rPr>
        <w:t>Talked through surgical workup list in general terms, without any specific case.</w:t>
      </w:r>
    </w:p>
    <w:p>
      <w:r>
        <w:rPr>
          <w:sz w:val="21"/>
        </w:rPr>
      </w:r>
    </w:p>
    <w:p>
      <w:r>
        <w:rPr>
          <w:sz w:val="21"/>
        </w:rPr>
        <w:t>Closed there — nothing that needed follow-up.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