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March 14, 2025   |   From: Yuki Tanabe,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Adaeze Brannigan, MD, Foxglove Health Neurology, Springfield, MO (RSM)</w:t>
      </w:r>
    </w:p>
    <w:p>
      <w:r>
        <w:rPr>
          <w:sz w:val="21"/>
        </w:rPr>
        <w:t>&gt; Stopped by in the back office for a full conversation.</w:t>
      </w:r>
    </w:p>
    <w:p>
      <w:r>
        <w:rPr>
          <w:sz w:val="21"/>
        </w:rPr>
        <w:t>&gt; Most of the discussion was about the phone triage line, which is being piloted this quarter.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Caleb Munson, MD, Cedar Ridge Medical Group, Springfield, IL (AR)</w:t>
      </w:r>
    </w:p>
    <w:p>
      <w:r>
        <w:rPr>
          <w:sz w:val="21"/>
        </w:rPr>
        <w:t>&gt; Caught a short window over a quick coffee between patients.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Kenji Wycliffe, MD, Cedar Ridge Regional Epilepsy Program, Tacoma, WA (RSM)</w:t>
      </w:r>
    </w:p>
    <w:p>
      <w:r>
        <w:rPr>
          <w:sz w:val="21"/>
        </w:rPr>
        <w:t>&gt; Stopped by by the scheduling desk for a fragmented conversation.</w:t>
      </w:r>
    </w:p>
    <w:p>
      <w:r>
        <w:rPr>
          <w:sz w:val="21"/>
        </w:rPr>
        <w:t>&gt; Nothing actionable this visit. Safety items asked about and confirmed none.</w:t>
      </w:r>
    </w:p>
    <w:p>
      <w:r>
        <w:rPr>
          <w:sz w:val="21"/>
        </w:rPr>
        <w:t>&gt; Asked me to send the drug-drug interaction table for geriatric polypharmacy cases.</w:t>
      </w:r>
    </w:p>
    <w:p>
      <w:r>
        <w:rPr>
          <w:sz w:val="21"/>
        </w:rPr>
      </w:r>
    </w:p>
    <w:p>
      <w:r>
        <w:rPr>
          <w:b/>
          <w:sz w:val="21"/>
        </w:rPr>
        <w:t>Rasmus Cavanaugh, MD, Bayview Health Neurology, Boise, ID (RSM)</w:t>
      </w:r>
    </w:p>
    <w:p>
      <w:r>
        <w:rPr>
          <w:sz w:val="21"/>
        </w:rPr>
        <w:t>&gt; Caught a productive window in the workroom between patients.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Tobias Rusnak, MD, Sable Creek Medical Group, Akron, OH (AR)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Agreed to reconnect at the following quarter; nothing that needed follow-up.</w:t>
      </w:r>
    </w:p>
    <w:p>
      <w:r>
        <w:rPr>
          <w:sz w:val="21"/>
        </w:rPr>
        <w:t>&gt; The scheduling system is still being sorted out,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Bastian Pemberton, MD, Granite Bay Epilepsy Center, Jackson, MS (RSM)</w:t>
      </w:r>
    </w:p>
    <w:p>
      <w:r>
        <w:rPr>
          <w:sz w:val="21"/>
        </w:rPr>
        <w:t>&gt; A fragmented meeting by the scheduling desk, first one this quarter.</w:t>
      </w:r>
    </w:p>
    <w:p>
      <w:r>
        <w:rPr>
          <w:sz w:val="21"/>
        </w:rPr>
        <w:t>&gt; Talked through the older half of the panel in general terms, without any specific case.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Arvind Calderwood, MD, Sandhill Neuroscience Center, Shreveport, LA (RSM)</w:t>
      </w:r>
    </w:p>
    <w:p>
      <w:r>
        <w:rPr>
          <w:sz w:val="21"/>
        </w:rPr>
        <w:t>&gt; Caught an unexpectedly long window in the workroom between patients.</w:t>
      </w:r>
    </w:p>
    <w:p>
      <w:r>
        <w:rPr>
          <w:sz w:val="21"/>
        </w:rPr>
        <w:t>&gt; The practice lost the clinic pharmacist and has not backfilled, so the new-patient backlog is slowly recovering.</w:t>
      </w:r>
    </w:p>
    <w:p>
      <w:r>
        <w:rPr>
          <w:sz w:val="21"/>
        </w:rPr>
        <w:t>&gt; Onboarding a front-desk coordinator is the current preoccupation here.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Malika Danforth, MD, Riverstone Comprehensive Epilepsy Clinic, Bakersfield, CA (RSM)</w:t>
      </w:r>
    </w:p>
    <w:p>
      <w:r>
        <w:rPr>
          <w:sz w:val="21"/>
        </w:rPr>
        <w:t>&gt; Caught a compressed window in the corridor between patients.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