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14, 2025   |   From: Yuki Tanabe,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Rasmus Galbraith, MD, Marbury Neurological Care Center, Trenton, NJ (RSM)</w:t>
      </w:r>
    </w:p>
    <w:p>
      <w:r>
        <w:rPr>
          <w:sz w:val="21"/>
        </w:rPr>
        <w:t>&gt; Stopped by at the end of the clinic list for a clipped conversation.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Follow-up requested — material the nursing staff could hand to families of older patients.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Xiomara Wetherby, MD, Northbrook Neurology Institute, Fort Collins, CO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Mateo Zeitler, MD, Northbrook Neurology Institute, Fayetteville, NC (RSM)</w:t>
      </w:r>
    </w:p>
    <w:p>
      <w:r>
        <w:rPr>
          <w:sz w:val="21"/>
        </w:rPr>
        <w:t>&gt; A full conversation in the conference room, mostly logistics.</w:t>
      </w:r>
    </w:p>
    <w:p>
      <w:r>
        <w:rPr>
          <w:sz w:val="21"/>
        </w:rPr>
        <w:t>&gt; Also mentioned an adult patient describing persistent dizziness after the last titration step.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Rosalind Voskuijlen, MD, Willowmere Neuroscience Center, Grand Rapids, MI (AR)</w:t>
      </w:r>
    </w:p>
    <w:p>
      <w:r>
        <w:rPr>
          <w:sz w:val="21"/>
        </w:rPr>
        <w:t>&gt; A twenty-minute conversation at the nurses' station, mostly logistics.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Agreed to reconnect at a call later this month; no materials requested.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Nikolai Underhill, MD, Willowmere Neuroscience Center, Bakersfield, CA (RSM)</w:t>
      </w:r>
    </w:p>
    <w:p>
      <w:r>
        <w:rPr>
          <w:sz w:val="21"/>
        </w:rPr>
        <w:t>&gt; Routine follow-up slots looks better than last year since the summer, which shapes how much time there is for anything else.</w:t>
      </w:r>
    </w:p>
    <w:p>
      <w:r>
        <w:rPr>
          <w:sz w:val="21"/>
        </w:rPr>
        <w:t>&gt; The appeals process has improved somewhat, which came up as a general frustration.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Brought up an adult describing double vision on the current step.</w:t>
      </w:r>
    </w:p>
    <w:p>
      <w:r>
        <w:rPr>
          <w:sz w:val="21"/>
        </w:rPr>
      </w:r>
    </w:p>
    <w:p>
      <w:r>
        <w:rPr>
          <w:b/>
          <w:sz w:val="21"/>
        </w:rPr>
        <w:t>Yannick Nakagawa, MD, Granite Bay Epilepsy Center, Toledo, OH (RSM)</w:t>
      </w:r>
    </w:p>
    <w:p>
      <w:r>
        <w:rPr>
          <w:sz w:val="21"/>
        </w:rPr>
        <w:t>&gt; Caught an unexpectedly long window in the conference room between patients.</w:t>
      </w:r>
    </w:p>
    <w:p>
      <w:r>
        <w:rPr>
          <w:sz w:val="21"/>
        </w:rPr>
        <w:t>&gt; Referral patterns into this clinic have changed, and the pediatric-to-adult transfers is a bigger share than it was.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Spent some time on long-standing patients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Delphine Dunmore, MD, Windrow Neuroscience Center, Wichita, KS (AR)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The new charting templates changed again last month, and that took up the first part of the conversation.</w:t>
      </w:r>
    </w:p>
    <w:p>
      <w:r>
        <w:rPr>
          <w:sz w:val="21"/>
        </w:rPr>
        <w:t>&gt; The appeals process varies by payer,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Yesenia Vasquez-Lund, MD, Northgate Neurology Partners, Syracuse, NY (RSM)</w:t>
      </w:r>
    </w:p>
    <w:p>
      <w:r>
        <w:rPr>
          <w:sz w:val="21"/>
        </w:rPr>
        <w:t>&gt; No product discussion. Safety items asked about and confirmed none.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Put it as strongly as saying the age limit is the only thing standing in the way for these families.</w:t>
      </w:r>
    </w:p>
    <w:p>
      <w:r>
        <w:rPr>
          <w:sz w:val="21"/>
        </w:rPr>
        <w:t>&gt; The referral intake process went live without much warning,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Quentin Oakhurst, MD, Northbrook Neurology Institute, Oakland, CA (RSM)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Asked for a one-page interaction reference for the geriatric panel.</w:t>
      </w:r>
    </w:p>
    <w:p>
      <w:r>
        <w:rPr>
          <w:sz w:val="21"/>
        </w:rPr>
      </w:r>
    </w:p>
    <w:p>
      <w:r>
        <w:rPr>
          <w:b/>
          <w:sz w:val="21"/>
        </w:rPr>
        <w:t>Cormac Quintrell, MD, Riverstone Comprehensive Epilepsy Clinic, Chattanooga, TN (RSM)</w:t>
      </w:r>
    </w:p>
    <w:p>
      <w:r>
        <w:rPr>
          <w:sz w:val="21"/>
        </w:rPr>
        <w:t>&gt; Caught an unexpectedly long window in the back office between patients.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Noted that formulary questions has improved somewhat and that this is not specific to any one product.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Saoirse Stanhope, MD, Northbrook Neurology Institute, Allentown, PA (AR)</w:t>
      </w:r>
    </w:p>
    <w:p>
      <w:r>
        <w:rPr>
          <w:sz w:val="21"/>
        </w:rPr>
        <w:t>&gt; Most of the discussion was about the phone triage line, which went live without much warning.</w:t>
      </w:r>
    </w:p>
    <w:p>
      <w:r>
        <w:rPr>
          <w:sz w:val="21"/>
        </w:rPr>
        <w:t>&gt; Routine follow-up slots is slowly recovering since the summer, which shapes how much time there is for anything else.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Lukas Lammermoor, MD, Saltmarsh Neurological Care Center, Peoria, IL (AR)</w:t>
      </w:r>
    </w:p>
    <w:p>
      <w:r>
        <w:rPr>
          <w:sz w:val="21"/>
        </w:rPr>
        <w:t>&gt; A full conversation in the reading room, mostly logistics.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Mairead Barrowman, MD, Foxglove Health Neurology, Eugene, OR (RSM)</w:t>
      </w:r>
    </w:p>
    <w:p>
      <w:r>
        <w:rPr>
          <w:sz w:val="21"/>
        </w:rPr>
        <w:t>&gt; Caught a productive window at the end of the clinic list between patients.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Noted that benefit checks takes longer than the clinical decision and that this is not specific to any one product.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Described how newly referred patients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Odalys Corliss, MD, Ironwood Neurology Associates, Syracuse, NY (RSM)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