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May 20, 2025   |   MSL: Sunny Okafor</w:t>
      </w:r>
    </w:p>
    <w:p>
      <w:r>
        <w:rPr>
          <w:b/>
          <w:sz w:val="21"/>
        </w:rPr>
        <w:t>HCP: Rohan Barrowman, MD, Beacon Hill Neurology Associates, Roanoke, VA (AR)</w:t>
      </w:r>
    </w:p>
    <w:p>
      <w:r>
        <w:rPr>
          <w:sz w:val="21"/>
        </w:rPr>
      </w:r>
    </w:p>
    <w:p>
      <w:r>
        <w:rPr>
          <w:sz w:val="21"/>
        </w:rPr>
        <w:t>Most of the discussion was about the new charting templates, which went live without much warning.</w:t>
      </w:r>
    </w:p>
    <w:p>
      <w:r>
        <w:rPr>
          <w:sz w:val="21"/>
        </w:rPr>
      </w:r>
    </w:p>
    <w:p>
      <w:r>
        <w:rPr>
          <w:sz w:val="21"/>
        </w:rPr>
        <w:t>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sz w:val="21"/>
        </w:rPr>
        <w:t>Described how the refractory group is triaged now compared with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