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August 17, 2025   |   MSL: Nadia Belhadj</w:t>
      </w:r>
    </w:p>
    <w:p>
      <w:r>
        <w:rPr>
          <w:b/>
          <w:sz w:val="21"/>
        </w:rPr>
        <w:t>HCP: Gaspar Nashwood, MD, Copperfield Neurology Institute, Omaha, NE (RSM)</w:t>
      </w:r>
    </w:p>
    <w:p>
      <w:r>
        <w:rPr>
          <w:sz w:val="21"/>
        </w:rPr>
      </w:r>
    </w:p>
    <w:p>
      <w:r>
        <w:rPr>
          <w:sz w:val="21"/>
        </w:rPr>
        <w:t>A brief meeting in the shared office, first one this quarter.</w:t>
      </w:r>
    </w:p>
    <w:p>
      <w:r>
        <w:rPr>
          <w:sz w:val="21"/>
        </w:rPr>
      </w:r>
    </w:p>
    <w:p>
      <w:r>
        <w:rPr>
          <w:sz w:val="21"/>
        </w:rPr>
        <w:t>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sz w:val="21"/>
        </w:rPr>
        <w:t>The practice lost the clinic pharmacist and has not backfilled, so the referral queue keeps slipping.</w:t>
      </w:r>
    </w:p>
    <w:p>
      <w:r>
        <w:rPr>
          <w:sz w:val="21"/>
        </w:rPr>
      </w:r>
    </w:p>
    <w:p>
      <w:r>
        <w:rPr>
          <w:sz w:val="21"/>
        </w:rPr>
        <w:t>No product discussion. Safety items asked about and confirmed none.</w:t>
      </w:r>
    </w:p>
    <w:p>
      <w:r>
        <w:rPr>
          <w:sz w:val="21"/>
        </w:rPr>
      </w:r>
    </w:p>
    <w:p>
      <w:r>
        <w:rPr>
          <w:sz w:val="21"/>
        </w:rPr>
        <w:t>Wants material the nursing staff could hand to families of older patients.</w:t>
      </w:r>
    </w:p>
    <w:p>
      <w:r>
        <w:rPr>
          <w:sz w:val="21"/>
        </w:rPr>
      </w:r>
    </w:p>
    <w:p>
      <w:r>
        <w:rPr>
          <w:sz w:val="21"/>
        </w:rPr>
        <w:t>Mentioned a case series someone forwarded but did not raise any specific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