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November 23, 2025   |   MSL: Priya Menon</w:t>
      </w:r>
    </w:p>
    <w:p>
      <w:r>
        <w:rPr>
          <w:b/>
          <w:sz w:val="21"/>
        </w:rPr>
        <w:t>HCP: Gaspar Ostrander, MD, Riverstone Comprehensive Epilepsy Clinic, Burlington, VT (RSM)</w:t>
      </w:r>
    </w:p>
    <w:p>
      <w:r>
        <w:rPr>
          <w:sz w:val="21"/>
        </w:rPr>
      </w:r>
    </w:p>
    <w:p>
      <w:r>
        <w:rPr>
          <w:sz w:val="21"/>
        </w:rPr>
        <w:t>A short conversation in the shared office, mostly logistics.</w:t>
      </w:r>
    </w:p>
    <w:p>
      <w:r>
        <w:rPr>
          <w:sz w:val="21"/>
        </w:rPr>
      </w:r>
    </w:p>
    <w:p>
      <w:r>
        <w:rPr>
          <w:sz w:val="21"/>
        </w:rPr>
        <w:t>Referenced a review that circulated on the service in passing.</w:t>
      </w:r>
    </w:p>
    <w:p>
      <w:r>
        <w:rPr>
          <w:sz w:val="21"/>
        </w:rPr>
      </w:r>
    </w:p>
    <w:p>
      <w:r>
        <w:rPr>
          <w:sz w:val="21"/>
        </w:rPr>
        <w:t>Described how the older half of the panel is triaged now compared with before.</w:t>
      </w:r>
    </w:p>
    <w:p>
      <w:r>
        <w:rPr>
          <w:sz w:val="21"/>
        </w:rPr>
      </w:r>
    </w:p>
    <w:p>
      <w:r>
        <w:rPr>
          <w:sz w:val="21"/>
        </w:rPr>
        <w:t>Asked whether anyone is looking at post-stroke epilepsy, which this clinic sees more of every year.</w:t>
      </w:r>
    </w:p>
    <w:p>
      <w:r>
        <w:rPr>
          <w:sz w:val="21"/>
        </w:rPr>
      </w:r>
    </w:p>
    <w:p>
      <w:r>
        <w:rPr>
          <w:sz w:val="21"/>
        </w:rPr>
        <w:t>Described a preference for slower titration in general, unrelated to any particular patient.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