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January 26, 2026   |   MSL: Colin Ferreira</w:t>
      </w:r>
    </w:p>
    <w:p>
      <w:r>
        <w:rPr>
          <w:b/>
          <w:sz w:val="21"/>
        </w:rPr>
        <w:t>HCP: Ulrike Dellacroix, MD, Silver Creek Medical Group, Allentown, PA (RSM)</w:t>
      </w:r>
    </w:p>
    <w:p>
      <w:r>
        <w:rPr>
          <w:sz w:val="21"/>
        </w:rPr>
      </w:r>
    </w:p>
    <w:p>
      <w:r>
        <w:rPr>
          <w:sz w:val="21"/>
        </w:rPr>
        <w:t>A short convo between clinic blocks, mostly logistics.</w:t>
      </w:r>
    </w:p>
    <w:p>
      <w:r>
        <w:rPr>
          <w:sz w:val="21"/>
        </w:rPr>
      </w:r>
    </w:p>
    <w:p>
      <w:r>
        <w:rPr>
          <w:sz w:val="21"/>
        </w:rPr>
        <w:t>Onboarding one of nurse practitioners is current preoccupation here.</w:t>
      </w:r>
    </w:p>
    <w:p>
      <w:r>
        <w:rPr>
          <w:sz w:val="21"/>
        </w:rPr>
      </w:r>
    </w:p>
    <w:p>
      <w:r>
        <w:rPr>
          <w:sz w:val="21"/>
        </w:rPr>
        <w:t>Compared notes on which sessions were worth the time.</w:t>
      </w:r>
    </w:p>
    <w:p>
      <w:r>
        <w:rPr>
          <w:sz w:val="21"/>
        </w:rPr>
      </w:r>
    </w:p>
    <w:p>
      <w:r>
        <w:rPr>
          <w:sz w:val="21"/>
        </w:rPr>
        <w:t>Kept coming back to how often the generalized tonic-clonic group comes up with no approved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