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February 2, 2026   |   MSL: Sam Becker</w:t>
      </w:r>
    </w:p>
    <w:p>
      <w:r>
        <w:rPr>
          <w:b/>
          <w:sz w:val="21"/>
        </w:rPr>
        <w:t>HCP: Thandiwe Barrowman, MD, Quarry Hill Epilepsy Center, Sioux Falls, SD (RSM)</w:t>
      </w:r>
    </w:p>
    <w:p>
      <w:r>
        <w:rPr>
          <w:sz w:val="21"/>
        </w:rPr>
      </w:r>
    </w:p>
    <w:p>
      <w:r>
        <w:rPr>
          <w:sz w:val="21"/>
        </w:rPr>
        <w:t>A fragmented conversation at the end of the clinic list, mostly logistics.</w:t>
      </w:r>
    </w:p>
    <w:p>
      <w:r>
        <w:rPr>
          <w:sz w:val="21"/>
        </w:rPr>
      </w:r>
    </w:p>
    <w:p>
      <w:r>
        <w:rPr>
          <w:sz w:val="21"/>
        </w:rPr>
        <w:t>No specific request this time. Asked about safety and confirmed nothing to report.</w:t>
      </w:r>
    </w:p>
    <w:p>
      <w:r>
        <w:rPr>
          <w:sz w:val="21"/>
        </w:rPr>
      </w:r>
    </w:p>
    <w:p>
      <w:r>
        <w:rPr>
          <w:sz w:val="21"/>
        </w:rPr>
        <w:t>Described how long-standing pts is triaged now compared with before.</w:t>
      </w:r>
    </w:p>
    <w:p>
      <w:r>
        <w:rPr>
          <w:sz w:val="21"/>
        </w:rPr>
      </w:r>
    </w:p>
    <w:p>
      <w:r>
        <w:rPr>
          <w:sz w:val="21"/>
        </w:rPr>
        <w:t>The practice lost the clinic pharmacist and has not backfilled, so routine follow-up slots looks better than last year.</w:t>
      </w:r>
    </w:p>
    <w:p>
      <w:r>
        <w:rPr>
          <w:sz w:val="21"/>
        </w:rPr>
      </w:r>
    </w:p>
    <w:p>
      <w:r>
        <w:rPr>
          <w:sz w:val="21"/>
        </w:rPr>
        <w:t>Said the clearest limitation right now is patients with generalized tonic-clonic seizures who cycle through the same medications with the same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