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April 20, 2026   |   MSL: Dana Cho</w:t>
      </w:r>
    </w:p>
    <w:p>
      <w:r>
        <w:rPr>
          <w:b/>
          <w:sz w:val="21"/>
        </w:rPr>
        <w:t>HCP: Mairead Sandoval-Reyes, MD, Willowmere Neuroscience Center, Chattanooga, TN (RSM)</w:t>
      </w:r>
    </w:p>
    <w:p>
      <w:r>
        <w:rPr>
          <w:sz w:val="21"/>
        </w:rPr>
      </w:r>
    </w:p>
    <w:p>
      <w:r>
        <w:rPr>
          <w:sz w:val="21"/>
        </w:rPr>
        <w:t>Onboarding a rotating resident is the current preoccupation here.</w:t>
      </w:r>
    </w:p>
    <w:p>
      <w:r>
        <w:rPr>
          <w:sz w:val="21"/>
        </w:rPr>
      </w:r>
    </w:p>
    <w:p>
      <w:r>
        <w:rPr>
          <w:sz w:val="21"/>
        </w:rPr>
        <w:t>The composition of the surgical workup list has shifted over the last year or two.</w:t>
      </w:r>
    </w:p>
    <w:p>
      <w:r>
        <w:rPr>
          <w:sz w:val="21"/>
        </w:rPr>
      </w:r>
    </w:p>
    <w:p>
      <w:r>
        <w:rPr>
          <w:sz w:val="21"/>
        </w:rPr>
        <w:t>Spent the last part of the visit on the frustration of having a well-tolerated option that the generalized population cannot access.</w:t>
      </w:r>
    </w:p>
    <w:p>
      <w:r>
        <w:rPr>
          <w:sz w:val="21"/>
        </w:rPr>
      </w:r>
    </w:p>
    <w:p>
      <w:r>
        <w:rPr>
          <w:sz w:val="21"/>
        </w:rPr>
        <w:t>Benefit verification is the step that most often delays a start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