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May 11, 2026   |   From: Tom Alvarez, Rachel Suh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Fiona Gallagher, MD, Great Lakes Epilepsy Institute, Madison, WI (RSM)</w:t>
      </w:r>
    </w:p>
    <w:p>
      <w:r>
        <w:rPr>
          <w:sz w:val="21"/>
        </w:rPr>
        <w:t>&gt; Quick stop at Great Lakes, ~15 min in the fellows room.</w:t>
      </w:r>
    </w:p>
    <w:p>
      <w:r>
        <w:rPr>
          <w:sz w:val="21"/>
        </w:rPr>
        <w:t>&gt; Pt volume up again this quarter, mostly new referrals in from the western half of the state. Epilepsy service running two extra half-days to absorb it.</w:t>
      </w:r>
    </w:p>
    <w:p>
      <w:r>
        <w:rPr>
          <w:sz w:val="21"/>
        </w:rPr>
        <w:t>&gt; Video EEG wait is the choke point, out around nine weeks. F/u slots get pushed first.</w:t>
      </w:r>
    </w:p>
    <w:p>
      <w:r>
        <w:rPr>
          <w:sz w:val="21"/>
        </w:rPr>
        <w:t>&gt; No clinical questions, no materials requested. Next appt not booked.</w:t>
      </w:r>
    </w:p>
    <w:p>
      <w:r>
        <w:rPr>
          <w:sz w:val="21"/>
        </w:rPr>
      </w:r>
    </w:p>
    <w:p>
      <w:r>
        <w:rPr>
          <w:b/>
          <w:sz w:val="21"/>
        </w:rPr>
        <w:t>Andrei Petrov, MD, Prairie Gate Health, Des Moines, IA (RSM)</w:t>
      </w:r>
    </w:p>
    <w:p>
      <w:r>
        <w:rPr>
          <w:sz w:val="21"/>
        </w:rPr>
        <w:t>&gt; Longer than planned, ~30 min, mostly standing in the back hallway. Second visit to this site this yaer.</w:t>
      </w:r>
    </w:p>
    <w:p>
      <w:r>
        <w:rPr>
          <w:sz w:val="21"/>
        </w:rPr>
        <w:t>&gt; Asked where the gaps sit in the refractory panel right now. Said the 12-to-17 group with refractory focal epilepsy is where the biggest gap sits, since the adult-only label leaves them waiting.</w:t>
      </w:r>
    </w:p>
    <w:p>
      <w:r>
        <w:rPr>
          <w:sz w:val="21"/>
        </w:rPr>
        <w:t>&gt; Two pts in mind, both failed 2 ASMs, both still seizing. Says the practical plan is hold and re-book until they age in, and that parents hear the same answer every visit.</w:t>
      </w:r>
    </w:p>
    <w:p>
      <w:r>
        <w:rPr>
          <w:sz w:val="21"/>
        </w:rPr>
        <w:t>&gt; I confirmed CNB is approved for adults only and did not discuss use under 18. No request to do so was made.</w:t>
      </w:r>
    </w:p>
    <w:p>
      <w:r>
        <w:rPr>
          <w:sz w:val="21"/>
        </w:rPr>
        <w:t>&gt; Logging as recurring unmet need - same theme heard in Madison and Baton Rouge. No AE, nothing requested.</w:t>
      </w:r>
    </w:p>
    <w:p>
      <w:r>
        <w:rPr>
          <w:sz w:val="21"/>
        </w:rPr>
      </w:r>
    </w:p>
    <w:p>
      <w:r>
        <w:rPr>
          <w:b/>
          <w:sz w:val="21"/>
        </w:rPr>
        <w:t>Katherine Ost, MD, Sonoran Neuroscience Institute, Tucson, AZ (RSM)</w:t>
      </w:r>
    </w:p>
    <w:p>
      <w:r>
        <w:rPr>
          <w:sz w:val="21"/>
        </w:rPr>
        <w:t>&gt; ~20 min, in person, squeezed between clinic blocks.</w:t>
      </w:r>
    </w:p>
    <w:p>
      <w:r>
        <w:rPr>
          <w:sz w:val="21"/>
        </w:rPr>
        <w:t>&gt; Whole convo was the EHR. Seizure frequency template takes one number per encounter, no feild for clusters, so the real count ends up buried in free text.</w:t>
      </w:r>
    </w:p>
    <w:p>
      <w:r>
        <w:rPr>
          <w:sz w:val="21"/>
        </w:rPr>
        <w:t>&gt; Says the QI chart review meant opening every note by hand. Two tickets in the IT queue since Jan, no movement.</w:t>
      </w:r>
    </w:p>
    <w:p>
      <w:r>
        <w:rPr>
          <w:sz w:val="21"/>
        </w:rPr>
        <w:t>&gt; No product discussion. Nothing requested.</w:t>
      </w:r>
    </w:p>
    <w:p>
      <w:r>
        <w:rPr>
          <w:sz w:val="21"/>
        </w:rPr>
      </w:r>
    </w:p>
    <w:p>
      <w:r>
        <w:rPr>
          <w:b/>
          <w:sz w:val="21"/>
        </w:rPr>
        <w:t>Jorge Maldonado, MD, Redwood Basin Medical Group, Sacramento, CA (RSM)</w:t>
      </w:r>
    </w:p>
    <w:p>
      <w:r>
        <w:rPr>
          <w:sz w:val="21"/>
        </w:rPr>
        <w:t>&gt; Drop-in, ~10 min, waiting room was full so we stood in the corridor.</w:t>
      </w:r>
    </w:p>
    <w:p>
      <w:r>
        <w:rPr>
          <w:sz w:val="21"/>
        </w:rPr>
        <w:t>&gt; All admin. Says the front desk now loses about a day a week to payer forms, and the same clinical question comes back in three diffrent formats.</w:t>
      </w:r>
    </w:p>
    <w:p>
      <w:r>
        <w:rPr>
          <w:sz w:val="21"/>
        </w:rPr>
        <w:t>&gt; Denials arrive by mail, appeals go through a portal, and nobody in the office can tell which one the payer actually reads.</w:t>
      </w:r>
    </w:p>
    <w:p>
      <w:r>
        <w:rPr>
          <w:sz w:val="21"/>
        </w:rPr>
        <w:t>&gt; No product specifics came up and I did not raise any. No AE.</w:t>
      </w:r>
    </w:p>
    <w:p>
      <w:r>
        <w:rPr>
          <w:sz w:val="21"/>
        </w:rPr>
      </w:r>
    </w:p>
    <w:p>
      <w:r>
        <w:rPr>
          <w:b/>
          <w:sz w:val="21"/>
        </w:rPr>
        <w:t>Alice Nguyen-Barr, MD, Old Dominion Neurology Group, Richmond, VA (AR)</w:t>
      </w:r>
    </w:p>
    <w:p>
      <w:r>
        <w:rPr>
          <w:sz w:val="21"/>
        </w:rPr>
        <w:t>&gt; In person, ~15 min at the Richmond office. First contact since Feb.</w:t>
      </w:r>
    </w:p>
    <w:p>
      <w:r>
        <w:rPr>
          <w:sz w:val="21"/>
        </w:rPr>
        <w:t>&gt; Telehealth f/u is about a quarter of the schedule now and staying that way. No-shows down, but the check-in link expires if a pt opens it early, so the front desk re-sends most mornings.</w:t>
      </w:r>
    </w:p>
    <w:p>
      <w:r>
        <w:rPr>
          <w:sz w:val="21"/>
        </w:rPr>
        <w:t>&gt; Diaries still arrive on paper or by fax. Staff re-key them before the appt, which is where the time goes.</w:t>
      </w:r>
    </w:p>
    <w:p>
      <w:r>
        <w:rPr>
          <w:sz w:val="21"/>
        </w:rPr>
        <w:t>&gt; No clinical or product discussion. Next appt not booked.</w:t>
      </w:r>
    </w:p>
    <w:p>
      <w:r>
        <w:rPr>
          <w:sz w:val="21"/>
        </w:rPr>
      </w:r>
    </w:p>
    <w:p>
      <w:r>
        <w:rPr>
          <w:b/>
          <w:sz w:val="21"/>
        </w:rPr>
        <w:t>Jaromir Cavanaugh, MD, Granite Bay Epilepsy Center, Burlington, VT (AR)</w:t>
      </w:r>
    </w:p>
    <w:p>
      <w:r>
        <w:rPr>
          <w:sz w:val="21"/>
        </w:rPr>
        <w:t>&gt; A productive meeting outside the EEG suite, first one this quarter.</w:t>
      </w:r>
    </w:p>
    <w:p>
      <w:r>
        <w:rPr>
          <w:sz w:val="21"/>
        </w:rPr>
        <w:t>&gt; Asked whether I could bring whatever adolescent dosing or safety material exists, published or pending.</w:t>
      </w:r>
    </w:p>
    <w:p>
      <w:r>
        <w:rPr>
          <w:sz w:val="21"/>
        </w:rPr>
        <w:t>&gt; The appeals process is handled by one person here, which came up as a general frustration.</w:t>
      </w:r>
    </w:p>
    <w:p>
      <w:r>
        <w:rPr>
          <w:sz w:val="21"/>
        </w:rPr>
        <w:t>&gt; Described how the pediatric-to-adult transfers is triaged now compared with before.</w:t>
      </w:r>
    </w:p>
    <w:p>
      <w:r>
        <w:rPr>
          <w:sz w:val="21"/>
        </w:rPr>
        <w:t>&gt; Brought up, unprompted, the gap between what these adolescent patients need and what the label permits.</w:t>
      </w:r>
    </w:p>
    <w:p>
      <w:r>
        <w:rPr>
          <w:sz w:val="21"/>
        </w:rPr>
      </w:r>
    </w:p>
    <w:p>
      <w:r>
        <w:rPr>
          <w:b/>
          <w:sz w:val="21"/>
        </w:rPr>
        <w:t>Adaeze Vasquez-Lund, MD, Alder Point Neurology Associates, Allentown, PA (RSM)</w:t>
      </w:r>
    </w:p>
    <w:p>
      <w:r>
        <w:rPr>
          <w:sz w:val="21"/>
        </w:rPr>
        <w:t>&gt; Caught twenty-minute window between clinic blocks between pts.</w:t>
      </w:r>
    </w:p>
    <w:p>
      <w:r>
        <w:rPr>
          <w:sz w:val="21"/>
        </w:rPr>
        <w:t>&gt; Talked through the pediatric-to-adult transfers in general terms, without any specific case.</w:t>
      </w:r>
    </w:p>
    <w:p>
      <w:r>
        <w:rPr>
          <w:sz w:val="21"/>
        </w:rPr>
        <w:t>&gt; Explained that how the medication list in patients over 65 makes the whole decision feel heavier.</w:t>
      </w:r>
    </w:p>
    <w:p>
      <w:r>
        <w:rPr>
          <w:sz w:val="21"/>
        </w:rPr>
        <w:t>&gt; Noted that appeals process varies by payer and that this is not specific to any one product.</w:t>
      </w:r>
    </w:p>
    <w:p>
      <w:r>
        <w:rPr>
          <w:sz w:val="21"/>
        </w:rPr>
      </w:r>
    </w:p>
    <w:p>
      <w:r>
        <w:rPr>
          <w:b/>
          <w:sz w:val="21"/>
        </w:rPr>
        <w:t>Gaspar Yoshimura, MD, Vantage Park Regional Epilepsy Program, Bakersfield, CA (RSM)</w:t>
      </w:r>
    </w:p>
    <w:p>
      <w:r>
        <w:rPr>
          <w:sz w:val="21"/>
        </w:rPr>
        <w:t>&gt; The referral intake process is being piloted this quarter, and that took up the first part of the conversation.</w:t>
      </w:r>
    </w:p>
    <w:p>
      <w:r>
        <w:rPr>
          <w:sz w:val="21"/>
        </w:rPr>
        <w:t>&gt; Raised waiting for a pharmacist to clear the full medication list in patients over 65.</w:t>
      </w:r>
    </w:p>
    <w:p>
      <w:r>
        <w:rPr>
          <w:sz w:val="21"/>
        </w:rPr>
        <w:t>&gt; Referenced case series someone forwarded in passing.</w:t>
      </w:r>
    </w:p>
    <w:p>
      <w:r>
        <w:rPr>
          <w:sz w:val="21"/>
        </w:rPr>
        <w:t>&gt; The composition of the older half of the panel has shifted over the last year or two.</w:t>
      </w:r>
    </w:p>
    <w:p>
      <w:r>
        <w:rPr>
          <w:sz w:val="21"/>
        </w:rPr>
        <w:t>&gt; Closed there — no specific request.</w:t>
      </w:r>
    </w:p>
    <w:p>
      <w:r>
        <w:rPr>
          <w:sz w:val="21"/>
        </w:rPr>
      </w:r>
    </w:p>
    <w:p>
      <w:r>
        <w:rPr>
          <w:b/>
          <w:sz w:val="21"/>
        </w:rPr>
        <w:t>Yesenia Kirkpatrick, MD, Cedar Ridge Regional Epilepsy Program, Scranton, PA (AR)</w:t>
      </w:r>
    </w:p>
    <w:p>
      <w:r>
        <w:rPr>
          <w:sz w:val="21"/>
        </w:rPr>
        <w:t>&gt; Stopped by in the corridor for rushed convo.</w:t>
      </w:r>
    </w:p>
    <w:p>
      <w:r>
        <w:rPr>
          <w:sz w:val="21"/>
        </w:rPr>
        <w:t>&gt; Action item: published pharmacokinetic work in adolescents, if any exists.</w:t>
      </w:r>
    </w:p>
    <w:p>
      <w:r>
        <w:rPr>
          <w:sz w:val="21"/>
        </w:rPr>
        <w:t>&gt; Said the hardest conversations in clinic are about a 17-year-old whose regimen is clearly failing while the approved options are exhausted.</w:t>
      </w:r>
    </w:p>
    <w:p>
      <w:r>
        <w:rPr>
          <w:sz w:val="21"/>
        </w:rPr>
        <w:t>&gt; Agreed to reconnect at following quarter; nothing that needed f/u.</w:t>
      </w:r>
    </w:p>
    <w:p>
      <w:r>
        <w:rPr>
          <w:sz w:val="21"/>
        </w:rPr>
      </w:r>
    </w:p>
    <w:p>
      <w:r>
        <w:rPr>
          <w:b/>
          <w:sz w:val="21"/>
        </w:rPr>
        <w:t>Kenji Tavernier, MD, Highmoor Health Neurology, Reno, NV (RSM)</w:t>
      </w:r>
    </w:p>
    <w:p>
      <w:r>
        <w:rPr>
          <w:sz w:val="21"/>
        </w:rPr>
        <w:t>&gt; Stopped by over a quick coffee for a full convo.</w:t>
      </w:r>
    </w:p>
    <w:p>
      <w:r>
        <w:rPr>
          <w:sz w:val="21"/>
        </w:rPr>
        <w:t>&gt; Brought up, unprompted, the adolescents with drug-resistant focal seizures who simply wait until 18 before cenobamate is an option.</w:t>
      </w:r>
    </w:p>
    <w:p>
      <w:r>
        <w:rPr>
          <w:sz w:val="21"/>
        </w:rPr>
        <w:t>&gt; Noted a patient with nausea since starting, now under observation.</w:t>
      </w:r>
    </w:p>
    <w:p>
      <w:r>
        <w:rPr>
          <w:sz w:val="21"/>
        </w:rPr>
        <w:t>&gt; The referral intake process went live without much warning, and that took up first part of conversation.</w:t>
      </w:r>
    </w:p>
    <w:p>
      <w:r>
        <w:rPr>
          <w:sz w:val="21"/>
        </w:rPr>
      </w:r>
    </w:p>
    <w:p>
      <w:r>
        <w:rPr>
          <w:b/>
          <w:sz w:val="21"/>
        </w:rPr>
        <w:t>Zubin Grierson, MD, Marbury Neurological Care Center, Tucson, AZ (RSM)</w:t>
      </w:r>
    </w:p>
    <w:p>
      <w:r>
        <w:rPr>
          <w:sz w:val="21"/>
        </w:rPr>
        <w:t>&gt; Most of the discussion was about the new charting templates, which is being piloted this quarter.</w:t>
      </w:r>
    </w:p>
    <w:p>
      <w:r>
        <w:rPr>
          <w:sz w:val="21"/>
        </w:rPr>
        <w:t>&gt; Spent the last part of the visit on patients with generalized tonic-clonic seizures who cycle through the same medications with the same result.</w:t>
      </w:r>
    </w:p>
    <w:p>
      <w:r>
        <w:rPr>
          <w:sz w:val="21"/>
        </w:rPr>
        <w:t>&gt; Benefit verification is the step that most often delays start here.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