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August 8, 2026   |   MSL: Priya Menon</w:t>
      </w:r>
    </w:p>
    <w:p>
      <w:r>
        <w:rPr>
          <w:b/>
          <w:sz w:val="21"/>
        </w:rPr>
        <w:t>HCP: Lukas Fenwicke, MD, Willowmere Neuroscience Center, Boise, ID (RSM)</w:t>
      </w:r>
    </w:p>
    <w:p>
      <w:r>
        <w:rPr>
          <w:sz w:val="21"/>
        </w:rPr>
      </w:r>
    </w:p>
    <w:p>
      <w:r>
        <w:rPr>
          <w:sz w:val="21"/>
        </w:rPr>
        <w:t>Caught an unexpectedly long window in the workroom between patients.</w:t>
      </w:r>
    </w:p>
    <w:p>
      <w:r>
        <w:rPr>
          <w:sz w:val="21"/>
        </w:rPr>
      </w:r>
    </w:p>
    <w:p>
      <w:r>
        <w:rPr>
          <w:sz w:val="21"/>
        </w:rPr>
        <w:t>Talked through the refractory group in general terms, without any specific case.</w:t>
      </w:r>
    </w:p>
    <w:p>
      <w:r>
        <w:rPr>
          <w:sz w:val="21"/>
        </w:rPr>
      </w:r>
    </w:p>
    <w:p>
      <w:r>
        <w:rPr>
          <w:sz w:val="21"/>
        </w:rPr>
        <w:t>Most of the discussion was about the referral intake process, which has not settled.</w:t>
      </w:r>
    </w:p>
    <w:p>
      <w:r>
        <w:rPr>
          <w:sz w:val="21"/>
        </w:rPr>
      </w:r>
    </w:p>
    <w:p>
      <w:r>
        <w:rPr>
          <w:sz w:val="21"/>
        </w:rPr>
        <w:t>Compared notes on which sessions were worth the time.</w:t>
      </w:r>
    </w:p>
    <w:p>
      <w:r>
        <w:rPr>
          <w:sz w:val="21"/>
        </w:rPr>
      </w:r>
    </w:p>
    <w:p>
      <w:r>
        <w:rPr>
          <w:sz w:val="21"/>
        </w:rPr>
        <w:t>Flagged the 12-to-17 population, described as the place where the treatment gap is widest.</w:t>
      </w:r>
    </w:p>
    <w:p>
      <w:r>
        <w:rPr>
          <w:sz w:val="21"/>
        </w:rPr>
      </w:r>
    </w:p>
    <w:p>
      <w:r>
        <w:rPr>
          <w:sz w:val="21"/>
        </w:rPr>
        <w:t>Noted that formulary questions is handled by one person here and that this is not specific to any one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