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15, 2021   |   From: Rachel Suh,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Odalys Eversholt, MD, Alder Point Neurology Associates, Charleston, SC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Noted that the appeals process remains the slowest step and that this is not specific to any one product.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The practice lost a rotating resident and has not backfilled, so routine follow-up slots has stretched out.</w:t>
      </w:r>
    </w:p>
    <w:p>
      <w:r>
        <w:rPr>
          <w:sz w:val="21"/>
        </w:rPr>
      </w:r>
    </w:p>
    <w:p>
      <w:r>
        <w:rPr>
          <w:b/>
          <w:sz w:val="21"/>
        </w:rPr>
        <w:t>Ulrike Silverthorne, MD, Silver Creek Medical Group, Madison, WI (AR)</w:t>
      </w:r>
    </w:p>
    <w:p>
      <w:r>
        <w:rPr>
          <w:sz w:val="21"/>
        </w:rPr>
        <w:t>&gt; A compressed meeting between clinic blocks, first one this quarter.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Josefina Ghiradelli, MD, Sandhill Neuroscience Center, Worcester, MA (RSM)</w:t>
      </w:r>
    </w:p>
    <w:p>
      <w:r>
        <w:rPr>
          <w:sz w:val="21"/>
        </w:rPr>
        <w:t>&gt; Caught a twenty-minute window in the workroom between patients.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p>
      <w:r>
        <w:rPr>
          <w:b/>
          <w:sz w:val="21"/>
        </w:rPr>
        <w:t>Delphine Kettleborn, MD, Copperfield Neurology Institute, Providence, RI (AR)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Adaeze Vasquez-Lund, MD, Alder Point Neurology Associates, Allentown, PA (RSM)</w:t>
      </w:r>
    </w:p>
    <w:p>
      <w:r>
        <w:rPr>
          <w:sz w:val="21"/>
        </w:rPr>
        <w:t>&gt; A fragmented meeting in the shared office, first one this quarter.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Tobias Castellane, MD, Thornfield Regional Epilepsy Program, Eugene, OR (RSM)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Benefit checks has improved somewhat, which came up as a general frustration.</w:t>
      </w:r>
    </w:p>
    <w:p>
      <w:r>
        <w:rPr>
          <w:sz w:val="21"/>
        </w:rPr>
        <w:t>&gt; Most of the discussion was about the referral intake process, which went live without much warning.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Robert Enloe, MD, High Desert Neurology, Boise, ID (AR)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Rosalind Voskuijlen, MD, Willowmere Neuroscience Center, Grand Rapids, MI (AR)</w:t>
      </w:r>
    </w:p>
    <w:p>
      <w:r>
        <w:rPr>
          <w:sz w:val="21"/>
        </w:rPr>
        <w:t>&gt; A twenty-minute conversation outside the EEG suite, mostly logistics.</w:t>
      </w:r>
    </w:p>
    <w:p>
      <w:r>
        <w:rPr>
          <w:sz w:val="21"/>
        </w:rPr>
        <w:t>&gt; The new charting templates has not settled, and that took up the first part of the conversation.</w:t>
      </w:r>
    </w:p>
    <w:p>
      <w:r>
        <w:rPr>
          <w:sz w:val="21"/>
        </w:rPr>
        <w:t>&gt; The new-patient backlog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Kiara Wetherby, MD, Fox Hollow Neurology Partners, Tucson, AZ (AR)</w:t>
      </w:r>
    </w:p>
    <w:p>
      <w:r>
        <w:rPr>
          <w:sz w:val="21"/>
        </w:rPr>
        <w:t>&gt; A full meeting in the conference room, first one this quarter.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Lachlan Beauchamp, MD, Northbrook Neurology Institute, Charleston, SC (RSM)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