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April 14, 2022   |   From: Ingrid Halvorsen, Priya Menon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Gaspar Ostrander, MD, Riverstone Comprehensive Epilepsy Clinic, Burlington, VT (RSM)</w:t>
      </w:r>
    </w:p>
    <w:p>
      <w:r>
        <w:rPr>
          <w:sz w:val="21"/>
        </w:rPr>
        <w:t>&gt; A twenty-minute meeting between clinic blocks, first one this quarter.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Adaeze Brannigan, MD, Foxglove Health Neurology, Springfield, MO (RSM)</w:t>
      </w:r>
    </w:p>
    <w:p>
      <w:r>
        <w:rPr>
          <w:sz w:val="21"/>
        </w:rPr>
        <w:t>&gt; Stopped by at the end of the clinic list for a twenty-minute conversation.</w:t>
      </w:r>
    </w:p>
    <w:p>
      <w:r>
        <w:rPr>
          <w:sz w:val="21"/>
        </w:rPr>
        <w:t>&gt; The referral intake process changed again last month, and that took up the first part of the conversation.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Silvio Inverness, MD, Alder Point Neurology Associates, Madison, WI (RSM)</w:t>
      </w:r>
    </w:p>
    <w:p>
      <w:r>
        <w:rPr>
          <w:sz w:val="21"/>
        </w:rPr>
        <w:t>&gt; A productive conversation in the back office, mostly logistics.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Most of the discussion was about the scheduling system, which is being piloted this quarter.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Nothing that needed follow-up.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Tadeo Norrington, MD, Vantage Park Regional Epilepsy Program, Grand Rapids, MI (RSM)</w:t>
      </w:r>
    </w:p>
    <w:p>
      <w:r>
        <w:rPr>
          <w:sz w:val="21"/>
        </w:rPr>
        <w:t>&gt; A brief conversation in the workroom, mostly logistics.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The prior-authorization workflow is still being sorted out, and that took up the first part of the conversation.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Ulrike Oakhurst, MD, Lakeshore Neurological Care Center, Provo, UT (RSM)</w:t>
      </w:r>
    </w:p>
    <w:p>
      <w:r>
        <w:rPr>
          <w:sz w:val="21"/>
        </w:rPr>
        <w:t>&gt; A fragmented conversation outside the EEG suite, mostly logistics.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Noted that coverage paperwork varies by payer and that this is not specific to any one product.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Rohan Ravenscroft, MD, Fox Hollow Neurology Partners, Omaha, NE (RSM)</w:t>
      </w:r>
    </w:p>
    <w:p>
      <w:r>
        <w:rPr>
          <w:sz w:val="21"/>
        </w:rPr>
        <w:t>&gt; A productive meeting at the end of the clinic list, first one this quarter.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</w:r>
    </w:p>
    <w:p>
      <w:r>
        <w:rPr>
          <w:b/>
          <w:sz w:val="21"/>
        </w:rPr>
        <w:t>Niamh Inverness, MD, Kestrel Comprehensive Epilepsy Clinic, Worcester, MA (RSM)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Agreed to reconnect at the following quarter; nothing actionable this visit.</w:t>
      </w:r>
    </w:p>
    <w:p>
      <w:r>
        <w:rPr>
          <w:sz w:val="21"/>
        </w:rPr>
      </w:r>
    </w:p>
    <w:p>
      <w:r>
        <w:rPr>
          <w:b/>
          <w:sz w:val="21"/>
        </w:rPr>
        <w:t>Camila Ostrander, MD, Silver Creek Medical Group, Madison, WI (RSM)</w:t>
      </w:r>
    </w:p>
    <w:p>
      <w:r>
        <w:rPr>
          <w:sz w:val="21"/>
        </w:rPr>
        <w:t>&gt; An unexpectedly long visit in the reading room; the schedule was tight.</w:t>
      </w:r>
    </w:p>
    <w:p>
      <w:r>
        <w:rPr>
          <w:sz w:val="21"/>
        </w:rPr>
        <w:t>&gt; Agreed to reconnect at a follow-up appointment; nothing that needed follow-up.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Bastian Pemberton, MD, Granite Bay Epilepsy Center, Jackson, MS (RSM)</w:t>
      </w:r>
    </w:p>
    <w:p>
      <w:r>
        <w:rPr>
          <w:sz w:val="21"/>
        </w:rPr>
        <w:t>&gt; An unhurried meeting at the nurses' station, first one this quarter.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The new-patient backlog is slowly recovering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Fabian Galbraith, MD, Palmetto Neurology Institute, Akron, OH (RSM)</w:t>
      </w:r>
    </w:p>
    <w:p>
      <w:r>
        <w:rPr>
          <w:sz w:val="21"/>
        </w:rPr>
        <w:t>&gt; Spent some time on the refractory group and how workup decisions get sequenced.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Felicity Fairweather, MD, Northgate Neurology Partners, Lexington, KY (RSM)</w:t>
      </w:r>
    </w:p>
    <w:p>
      <w:r>
        <w:rPr>
          <w:sz w:val="21"/>
        </w:rPr>
        <w:t>&gt; A rushed visit outside the EEG suite; the schedule was tight.</w:t>
      </w:r>
    </w:p>
    <w:p>
      <w:r>
        <w:rPr>
          <w:sz w:val="21"/>
        </w:rPr>
        <w:t>&gt; The practice lost a front-desk coordinator and has not backfilled, so clinic throughput looks better than last year.</w:t>
      </w:r>
    </w:p>
    <w:p>
      <w:r>
        <w:rPr>
          <w:sz w:val="21"/>
        </w:rPr>
        <w:t>&gt; Noted that benefit checks varies by payer and that this is not specific to any one product.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