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April 23, 2022   |   MSL: Priya Menon</w:t>
      </w:r>
    </w:p>
    <w:p>
      <w:r>
        <w:rPr>
          <w:b/>
          <w:sz w:val="21"/>
        </w:rPr>
        <w:t>HCP: Delphine Kettleborn, MD, Copperfield Neurology Institute, Providence, RI (AR)</w:t>
      </w:r>
    </w:p>
    <w:p>
      <w:r>
        <w:rPr>
          <w:sz w:val="21"/>
        </w:rPr>
      </w:r>
    </w:p>
    <w:p>
      <w:r>
        <w:rPr>
          <w:sz w:val="21"/>
        </w:rPr>
        <w:t>A twenty-minute meeting in the workroom, first one this quarter.</w:t>
      </w:r>
    </w:p>
    <w:p>
      <w:r>
        <w:rPr>
          <w:sz w:val="21"/>
        </w:rPr>
      </w:r>
    </w:p>
    <w:p>
      <w:r>
        <w:rPr>
          <w:sz w:val="21"/>
        </w:rPr>
        <w:t>Benefit verification is the step that most often delays a start here.</w:t>
      </w:r>
    </w:p>
    <w:p>
      <w:r>
        <w:rPr>
          <w:sz w:val="21"/>
        </w:rPr>
      </w:r>
    </w:p>
    <w:p>
      <w:r>
        <w:rPr>
          <w:sz w:val="21"/>
        </w:rPr>
        <w:t>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long-standing patients is a bigger share than it was.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