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12, 2022   |   From: Ingrid Halvorsen,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Kenji Cavanaugh, MD, Highmoor Health Neurology, Tacoma, WA (RSM)</w:t>
      </w:r>
    </w:p>
    <w:p>
      <w:r>
        <w:rPr>
          <w:sz w:val="21"/>
        </w:rPr>
        <w:t>&gt; A short conversation in the shared office, mostly logistics.</w:t>
      </w:r>
    </w:p>
    <w:p>
      <w:r>
        <w:rPr>
          <w:sz w:val="21"/>
        </w:rPr>
        <w:t>&gt; Noted that benefit checks has improved somewhat and that this is not specific to any one product.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Valentina Calderwood, MD, Foxglove Health Neurology, Missoula, MT (RSM)</w:t>
      </w:r>
    </w:p>
    <w:p>
      <w:r>
        <w:rPr>
          <w:sz w:val="21"/>
        </w:rPr>
        <w:t>&gt; Caught a productive window in the workroom between patients.</w:t>
      </w:r>
    </w:p>
    <w:p>
      <w:r>
        <w:rPr>
          <w:sz w:val="21"/>
        </w:rPr>
        <w:t>&gt; The practice lost the clinic pharmacist and has not backfilled, so routine follow-up slots is slowly recovering.</w:t>
      </w:r>
    </w:p>
    <w:p>
      <w:r>
        <w:rPr>
          <w:sz w:val="21"/>
        </w:rPr>
        <w:t>&gt; No specific request. Safety items asked about and confirmed none.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whether I had seen a review that circulated on the service;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Josefina Lindenmuth, MD, Quarry Hill Epilepsy Center, Scranton, PA (AR)</w:t>
      </w:r>
    </w:p>
    <w:p>
      <w:r>
        <w:rPr>
          <w:sz w:val="21"/>
        </w:rPr>
        <w:t>&gt; A clipped conversation in the conference room, mostly logistics.</w:t>
      </w:r>
    </w:p>
    <w:p>
      <w:r>
        <w:rPr>
          <w:sz w:val="21"/>
        </w:rPr>
        <w:t>&gt; Most of the discussion was about the scheduling system, which changed again last month.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Gaspar Brannigan, MD, Beacon Hill Neurology Associates, Tucson, AZ (RSM)</w:t>
      </w:r>
    </w:p>
    <w:p>
      <w:r>
        <w:rPr>
          <w:sz w:val="21"/>
        </w:rPr>
        <w:t>&gt; Stopped by in the shared office for a brief conversation.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Odalys Eversholt, MD, Alder Point Neurology Associates, Charleston, SC (RSM)</w:t>
      </w:r>
    </w:p>
    <w:p>
      <w:r>
        <w:rPr>
          <w:sz w:val="21"/>
        </w:rPr>
        <w:t>&gt; An unexpectedly long conversation between clinic blocks, mostly logistics.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Onboarding a rotating resident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Camila Larkspur, MD, Kestrel Comprehensive Epilepsy Clinic, Little Rock, AR (RSM)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The practice lost a front-desk coordinator and has not backfilled, so clinic throughput keeps slipping.</w:t>
      </w:r>
    </w:p>
    <w:p>
      <w:r>
        <w:rPr>
          <w:sz w:val="21"/>
        </w:rPr>
        <w:t>&gt; Formulary questions is handled by one person here, which came up as a general frustration.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</w:r>
    </w:p>
    <w:p>
      <w:r>
        <w:rPr>
          <w:b/>
          <w:sz w:val="21"/>
        </w:rPr>
        <w:t>Silvio Wycliffe, MD, Highmoor Health Neurology, Reno, NV (RSM)</w:t>
      </w:r>
    </w:p>
    <w:p>
      <w:r>
        <w:rPr>
          <w:sz w:val="21"/>
        </w:rPr>
        <w:t>&gt; A short visit outside the EEG suite; the schedule was tight.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</w:r>
    </w:p>
    <w:p>
      <w:r>
        <w:rPr>
          <w:b/>
          <w:sz w:val="21"/>
        </w:rPr>
        <w:t>Viraj Corliss, MD, Lakeshore Neurological Care Center, Lexington, KY (AR)</w:t>
      </w:r>
    </w:p>
    <w:p>
      <w:r>
        <w:rPr>
          <w:sz w:val="21"/>
        </w:rPr>
        <w:t>&gt; Caught a compressed window by the scheduling desk between patients.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The new charting templates is being piloted this quarter,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Rohan Ellingham, MD, Ember Lake Medical Group, Providence, RI (RSM)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  <w:t>&gt; Most of the discussion was about the referral intake process, which is still being sorted out.</w:t>
      </w:r>
    </w:p>
    <w:p>
      <w:r>
        <w:rPr>
          <w:sz w:val="21"/>
        </w:rPr>
      </w:r>
    </w:p>
    <w:p>
      <w:r>
        <w:rPr>
          <w:b/>
          <w:sz w:val="21"/>
        </w:rPr>
        <w:t>Grace Lindqvist, MD, Riverstone Medical Group, Hartford, CT (RSM)</w:t>
      </w:r>
    </w:p>
    <w:p>
      <w:r>
        <w:rPr>
          <w:sz w:val="21"/>
        </w:rPr>
        <w:t>&gt; Caught a half-hour window in the shared office between patients.</w:t>
      </w:r>
    </w:p>
    <w:p>
      <w:r>
        <w:rPr>
          <w:sz w:val="21"/>
        </w:rPr>
        <w:t>&gt; Talked through long-standing patients in general terms, without any specific case.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  <w:t>&gt; Closed there — no materials requested.</w:t>
      </w:r>
    </w:p>
    <w:p>
      <w:r>
        <w:rPr>
          <w:sz w:val="21"/>
        </w:rPr>
      </w:r>
    </w:p>
    <w:p>
      <w:r>
        <w:rPr>
          <w:b/>
          <w:sz w:val="21"/>
        </w:rPr>
        <w:t>Yannick Ashgrove, MD, Granite Bay Epilepsy Center, Grand Rapids, MI (RSM)</w:t>
      </w:r>
    </w:p>
    <w:p>
      <w:r>
        <w:rPr>
          <w:sz w:val="21"/>
        </w:rPr>
        <w:t>&gt; A short visit at the end of the clinic list; the schedule was tight.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</w:r>
    </w:p>
    <w:p>
      <w:r>
        <w:rPr>
          <w:b/>
          <w:sz w:val="21"/>
        </w:rPr>
        <w:t>Hadley Dunmore, MD, Fox Hollow Neurology Partners, Roanoke, VA (RSM)</w:t>
      </w:r>
    </w:p>
    <w:p>
      <w:r>
        <w:rPr>
          <w:sz w:val="21"/>
        </w:rPr>
        <w:t>&gt; The prior-authorization workflow has not settled, and that took up the first part of the conversation.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Spent some time on the refractory group and how workup decisions get sequenced.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</w:r>
    </w:p>
    <w:p>
      <w:r>
        <w:rPr>
          <w:b/>
          <w:sz w:val="21"/>
        </w:rPr>
        <w:t>Harold Jessup, MD, Magnolia Grove Clinic, Jackson, MS (AR)</w:t>
      </w:r>
    </w:p>
    <w:p>
      <w:r>
        <w:rPr>
          <w:sz w:val="21"/>
        </w:rPr>
        <w:t>&gt; Stopped by in the workroom for a full conversation.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Spent some time on the surgical workup list and how workup decisions get sequenced.</w:t>
      </w:r>
    </w:p>
    <w:p>
      <w:r>
        <w:rPr>
          <w:sz w:val="21"/>
        </w:rPr>
        <w:t>&gt; Coverage paperwork has improved somewhat, which came up as a general frustration.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