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b/>
          <w:sz w:val="21"/>
        </w:rPr>
        <w:t>Field Medical Highlights — XCOPRI (cenobamate)</w:t>
      </w:r>
    </w:p>
    <w:p>
      <w:r>
        <w:rPr>
          <w:sz w:val="21"/>
        </w:rPr>
        <w:t>Date: January 15, 2023   |   From: Ingrid Halvorsen, Yuki Tanabe</w:t>
      </w:r>
    </w:p>
    <w:p>
      <w:r>
        <w:rPr>
          <w:sz w:val="21"/>
        </w:rPr>
      </w:r>
    </w:p>
    <w:p>
      <w:r>
        <w:rPr>
          <w:b/>
          <w:sz w:val="21"/>
        </w:rPr>
        <w:t>FIELD MEDICAL INSIGHTS</w:t>
      </w:r>
    </w:p>
    <w:p>
      <w:r>
        <w:rPr>
          <w:sz w:val="21"/>
        </w:rPr>
      </w:r>
    </w:p>
    <w:p>
      <w:r>
        <w:rPr>
          <w:b/>
          <w:sz w:val="21"/>
        </w:rPr>
        <w:t>Rohan Thistlewood, MD, Foxglove Health Neurology, Manchester, NH (RSM)</w:t>
      </w:r>
    </w:p>
    <w:p>
      <w:r>
        <w:rPr>
          <w:sz w:val="21"/>
        </w:rPr>
        <w:t>&gt; Titration scheduling is handled by nursing staff, which the practice finds workable.</w:t>
      </w:r>
    </w:p>
    <w:p>
      <w:r>
        <w:rPr>
          <w:sz w:val="21"/>
        </w:rPr>
        <w:t>&gt; Talked through the older half of the panel in general terms, without any specific case.</w:t>
      </w:r>
    </w:p>
    <w:p>
      <w:r>
        <w:rPr>
          <w:sz w:val="21"/>
        </w:rPr>
        <w:t>&gt; The patient portal is still being sorted out, and that took up the first part of the conversation.</w:t>
      </w:r>
    </w:p>
    <w:p>
      <w:r>
        <w:rPr>
          <w:sz w:val="21"/>
        </w:rPr>
        <w:t>&gt; Benefit checks takes longer than the clinical decision, which came up as a general frustration.</w:t>
      </w:r>
    </w:p>
    <w:p>
      <w:r>
        <w:rPr>
          <w:sz w:val="21"/>
        </w:rPr>
        <w:t>&gt; Agreed to reconnect at a follow-up appointment; no materials requested.</w:t>
      </w:r>
    </w:p>
    <w:p>
      <w:r>
        <w:rPr>
          <w:sz w:val="21"/>
        </w:rPr>
      </w:r>
    </w:p>
    <w:p>
      <w:r>
        <w:rPr>
          <w:b/>
          <w:sz w:val="21"/>
        </w:rPr>
        <w:t>Niamh Yoshimura, MD, Kestrel Comprehensive Epilepsy Clinic, Sioux Falls, SD (RSM)</w:t>
      </w:r>
    </w:p>
    <w:p>
      <w:r>
        <w:rPr>
          <w:sz w:val="21"/>
        </w:rPr>
        <w:t>&gt; A productive visit over a quick coffee; the schedule was tight.</w:t>
      </w:r>
    </w:p>
    <w:p>
      <w:r>
        <w:rPr>
          <w:sz w:val="21"/>
        </w:rPr>
        <w:t>&gt; No specific request. Safety items asked about and confirmed none.</w:t>
      </w:r>
    </w:p>
    <w:p>
      <w:r>
        <w:rPr>
          <w:sz w:val="21"/>
        </w:rPr>
        <w:t>&gt; Talked through the refractory group in general terms, without any specific case.</w:t>
      </w:r>
    </w:p>
    <w:p>
      <w:r>
        <w:rPr>
          <w:sz w:val="21"/>
        </w:rPr>
      </w:r>
    </w:p>
    <w:p>
      <w:r>
        <w:rPr>
          <w:b/>
          <w:sz w:val="21"/>
        </w:rPr>
        <w:t>Sonali Corliss, MD, Lakeshore Neurological Care Center, Akron, OH (RSM)</w:t>
      </w:r>
    </w:p>
    <w:p>
      <w:r>
        <w:rPr>
          <w:sz w:val="21"/>
        </w:rPr>
        <w:t>&gt; Stopped by at the end of the clinic list for a rushed conversation.</w:t>
      </w:r>
    </w:p>
    <w:p>
      <w:r>
        <w:rPr>
          <w:sz w:val="21"/>
        </w:rPr>
        <w:t>&gt; Mentioned a session summary from a colleague but did not raise any specific finding.</w:t>
      </w:r>
    </w:p>
    <w:p>
      <w:r>
        <w:rPr>
          <w:sz w:val="21"/>
        </w:rPr>
        <w:t>&gt; Left it at that, with the next visit to be scheduled.</w:t>
      </w:r>
    </w:p>
    <w:p>
      <w:r>
        <w:rPr>
          <w:sz w:val="21"/>
        </w:rPr>
        <w:t>&gt; The referral queue has stretched out since the summer, which shapes how much time there is for anything else.</w:t>
      </w:r>
    </w:p>
    <w:p>
      <w:r>
        <w:rPr>
          <w:sz w:val="21"/>
        </w:rPr>
      </w:r>
    </w:p>
    <w:p>
      <w:r>
        <w:rPr>
          <w:b/>
          <w:sz w:val="21"/>
        </w:rPr>
        <w:t>Esperanza Jarreau, MD, Vantage Park Regional Epilepsy Program, Hartford, CT (RSM)</w:t>
      </w:r>
    </w:p>
    <w:p>
      <w:r>
        <w:rPr>
          <w:sz w:val="21"/>
        </w:rPr>
        <w:t>&gt; Described how newly referred patients is triaged now compared with before.</w:t>
      </w:r>
    </w:p>
    <w:p>
      <w:r>
        <w:rPr>
          <w:sz w:val="21"/>
        </w:rPr>
        <w:t>&gt; Talked through the pediatric-to-adult transfers in general terms, without any specific case.</w:t>
      </w:r>
    </w:p>
    <w:p>
      <w:r>
        <w:rPr>
          <w:sz w:val="21"/>
        </w:rPr>
        <w:t>&gt; The patient portal went live without much warning, and that took up the first part of the conversation.</w:t>
      </w:r>
    </w:p>
    <w:p>
      <w:r>
        <w:rPr>
          <w:sz w:val="21"/>
        </w:rPr>
        <w:t>&gt; Monitoring intervals during titration are set by clinic routine here rather than by protocol.</w:t>
      </w:r>
    </w:p>
    <w:p>
      <w:r>
        <w:rPr>
          <w:sz w:val="21"/>
        </w:rPr>
        <w:t>&gt; Onboarding two medical assistants is the current preoccupation here.</w:t>
      </w:r>
    </w:p>
    <w:p>
      <w:r>
        <w:rPr>
          <w:sz w:val="21"/>
        </w:rPr>
      </w:r>
    </w:p>
    <w:p>
      <w:r>
        <w:rPr>
          <w:b/>
          <w:sz w:val="21"/>
        </w:rPr>
        <w:t>Pallavi Ghiradelli, MD, Kestrel Comprehensive Epilepsy Clinic, Shreveport, LA (RSM)</w:t>
      </w:r>
    </w:p>
    <w:p>
      <w:r>
        <w:rPr>
          <w:sz w:val="21"/>
        </w:rPr>
        <w:t>&gt; Described how the pediatric-to-adult transfers is triaged now compared with before.</w:t>
      </w:r>
    </w:p>
    <w:p>
      <w:r>
        <w:rPr>
          <w:sz w:val="21"/>
        </w:rPr>
        <w:t>&gt; Mentioned a session summary from a colleague but did not raise any specific finding.</w:t>
      </w:r>
    </w:p>
    <w:p>
      <w:r>
        <w:rPr>
          <w:sz w:val="21"/>
        </w:rPr>
        <w:t>&gt; Referral patterns into this clinic have changed, and the surgical workup list is a bigger share than it was.</w:t>
      </w:r>
    </w:p>
    <w:p>
      <w:r>
        <w:rPr>
          <w:sz w:val="21"/>
        </w:rPr>
        <w:t>&gt; Left it at that, with the next visit to be scheduled.</w:t>
      </w:r>
    </w:p>
    <w:p>
      <w:r>
        <w:rPr>
          <w:sz w:val="21"/>
        </w:rPr>
      </w:r>
    </w:p>
    <w:p>
      <w:r>
        <w:rPr>
          <w:b/>
          <w:sz w:val="21"/>
        </w:rPr>
        <w:t>Bram Marchetti, MD, Palmetto Neurology Institute, Waco, TX (RSM)</w:t>
      </w:r>
    </w:p>
    <w:p>
      <w:r>
        <w:rPr>
          <w:sz w:val="21"/>
        </w:rPr>
        <w:t>&gt; Routine follow-up slots looks better than last year since the summer, which shapes how much time there is for anything else.</w:t>
      </w:r>
    </w:p>
    <w:p>
      <w:r>
        <w:rPr>
          <w:sz w:val="21"/>
        </w:rPr>
        <w:t>&gt; Coverage paperwork varies by payer, which came up as a general frustration.</w:t>
      </w:r>
    </w:p>
    <w:p>
      <w:r>
        <w:rPr>
          <w:sz w:val="21"/>
        </w:rPr>
        <w:t>&gt; Mentioned a review that circulated on the service but did not raise any specific finding.</w:t>
      </w:r>
    </w:p>
    <w:p>
      <w:r>
        <w:rPr>
          <w:sz w:val="21"/>
        </w:rPr>
        <w:t>&gt; The composition of the refractory group has shifted over the last year or two.</w:t>
      </w:r>
    </w:p>
    <w:p>
      <w:r>
        <w:rPr>
          <w:sz w:val="21"/>
        </w:rPr>
      </w:r>
    </w:p>
    <w:p>
      <w:r>
        <w:rPr>
          <w:b/>
          <w:sz w:val="21"/>
        </w:rPr>
        <w:t>Ulrike Dellacroix, MD, Silver Creek Medical Group, Allentown, PA (RSM)</w:t>
      </w:r>
    </w:p>
    <w:p>
      <w:r>
        <w:rPr>
          <w:sz w:val="21"/>
        </w:rPr>
        <w:t>&gt; A rushed visit at the end of the clinic list; the schedule was tight.</w:t>
      </w:r>
    </w:p>
    <w:p>
      <w:r>
        <w:rPr>
          <w:sz w:val="21"/>
        </w:rPr>
        <w:t>&gt; Noted that coverage paperwork has improved somewhat and that this is not specific to any one product.</w:t>
      </w:r>
    </w:p>
    <w:p>
      <w:r>
        <w:rPr>
          <w:sz w:val="21"/>
        </w:rPr>
        <w:t>&gt; The composition of newly referred patients has shifted over the last year or two.</w:t>
      </w:r>
    </w:p>
    <w:p>
      <w:r>
        <w:rPr>
          <w:sz w:val="21"/>
        </w:rPr>
        <w:t>&gt; Agreed to reconnect at the next visit; nothing that needed follow-up.</w:t>
      </w:r>
    </w:p>
    <w:p>
      <w:r>
        <w:rPr>
          <w:sz w:val="21"/>
        </w:rPr>
      </w:r>
    </w:p>
    <w:p>
      <w:r>
        <w:rPr>
          <w:b/>
          <w:sz w:val="21"/>
        </w:rPr>
        <w:t>Silvio Inverness, MD, Alder Point Neurology Associates, Madison, WI (RSM)</w:t>
      </w:r>
    </w:p>
    <w:p>
      <w:r>
        <w:rPr>
          <w:sz w:val="21"/>
        </w:rPr>
        <w:t>&gt; A compressed visit in the reading room; the schedule was tight.</w:t>
      </w:r>
    </w:p>
    <w:p>
      <w:r>
        <w:rPr>
          <w:sz w:val="21"/>
        </w:rPr>
        <w:t>&gt; Referenced a session summary from a colleague in passing.</w:t>
      </w:r>
    </w:p>
    <w:p>
      <w:r>
        <w:rPr>
          <w:sz w:val="21"/>
        </w:rPr>
        <w:t>&gt; Noted that coverage paperwork varies by payer and that this is not specific to any one product.</w:t>
      </w:r>
    </w:p>
    <w:p>
      <w:r>
        <w:rPr>
          <w:sz w:val="21"/>
        </w:rPr>
      </w:r>
    </w:p>
    <w:p>
      <w:r>
        <w:rPr>
          <w:b/>
          <w:sz w:val="21"/>
        </w:rPr>
        <w:t>Renata Hollingsworth, MD, Silver Creek Medical Group, Peoria, IL (AR)</w:t>
      </w:r>
    </w:p>
    <w:p>
      <w:r>
        <w:rPr>
          <w:sz w:val="21"/>
        </w:rPr>
        <w:t>&gt; Caught a fragmented window outside the EEG suite between patients.</w:t>
      </w:r>
    </w:p>
    <w:p>
      <w:r>
        <w:rPr>
          <w:sz w:val="21"/>
        </w:rPr>
        <w:t>&gt; Described a preference for slower titration in general, unrelated to any particular patient.</w:t>
      </w:r>
    </w:p>
    <w:p>
      <w:r>
        <w:rPr>
          <w:sz w:val="21"/>
        </w:rPr>
        <w:t>&gt; Mostly small talk about the program and the venue.</w:t>
      </w:r>
    </w:p>
    <w:p>
      <w:r>
        <w:rPr>
          <w:sz w:val="21"/>
        </w:rPr>
        <w:t>&gt; Onboarding a front-desk coordinator is the current preoccupation here.</w:t>
      </w:r>
    </w:p>
    <w:p>
      <w:r>
        <w:rPr>
          <w:sz w:val="21"/>
        </w:rPr>
      </w:r>
    </w:p>
    <w:p>
      <w:r>
        <w:rPr>
          <w:b/>
          <w:sz w:val="21"/>
        </w:rPr>
        <w:t>Imani Lindenmuth, MD, Sable Creek Medical Group, Lexington, KY (RSM)</w:t>
      </w:r>
    </w:p>
    <w:p>
      <w:r>
        <w:rPr>
          <w:sz w:val="21"/>
        </w:rPr>
        <w:t>&gt; Agreed to reconnect at the following quarter; no specific request.</w:t>
      </w:r>
    </w:p>
    <w:p>
      <w:r>
        <w:rPr>
          <w:sz w:val="21"/>
        </w:rPr>
        <w:t>&gt; Clinic throughput looks better than last year since the summer, which shapes how much time there is for anything else.</w:t>
      </w:r>
    </w:p>
    <w:p>
      <w:r>
        <w:rPr>
          <w:sz w:val="21"/>
        </w:rPr>
        <w:t>&gt; Monitoring intervals during titration are set by clinic routine here rather than by protocol.</w:t>
      </w:r>
    </w:p>
    <w:p>
      <w:r>
        <w:rPr>
          <w:sz w:val="21"/>
        </w:rPr>
      </w:r>
    </w:p>
    <w:p>
      <w:r>
        <w:rPr>
          <w:b/>
          <w:sz w:val="21"/>
        </w:rPr>
        <w:t>Orla Oyelaran, MD, Palmetto Neurology Institute, Provo, UT (RSM)</w:t>
      </w:r>
    </w:p>
    <w:p>
      <w:r>
        <w:rPr>
          <w:sz w:val="21"/>
        </w:rPr>
        <w:t>&gt; Asked whether I would be at the meeting later this year.</w:t>
      </w:r>
    </w:p>
    <w:p>
      <w:r>
        <w:rPr>
          <w:sz w:val="21"/>
        </w:rPr>
        <w:t>&gt; Described how long-standing patients is triaged now compared with before.</w:t>
      </w:r>
    </w:p>
    <w:p>
      <w:r>
        <w:rPr>
          <w:sz w:val="21"/>
        </w:rPr>
        <w:t>&gt; Noted that formulary questions varies by payer and that this is not specific to any one product.</w:t>
      </w:r>
    </w:p>
    <w:p>
      <w:r>
        <w:rPr>
          <w:sz w:val="21"/>
        </w:rPr>
      </w:r>
    </w:p>
    <w:p>
      <w:r>
        <w:rPr>
          <w:b/>
          <w:sz w:val="21"/>
        </w:rPr>
        <w:t>Tadeo Eastmond, MD, Sable Creek Medical Group, Provo, UT (RSM)</w:t>
      </w:r>
    </w:p>
    <w:p>
      <w:r>
        <w:rPr>
          <w:sz w:val="21"/>
        </w:rPr>
        <w:t>&gt; A twenty-minute conversation outside the EEG suite, mostly logistics.</w:t>
      </w:r>
    </w:p>
    <w:p>
      <w:r>
        <w:rPr>
          <w:sz w:val="21"/>
        </w:rPr>
        <w:t>&gt; Asked whether I had seen a session summary from a colleague; I had not, and offered nothing in return.</w:t>
      </w:r>
    </w:p>
    <w:p>
      <w:r>
        <w:rPr>
          <w:sz w:val="21"/>
        </w:rPr>
        <w:t>&gt; Described a preference for slower titration in general, unrelated to any particular patient.</w:t>
      </w:r>
    </w:p>
    <w:p>
      <w:r>
        <w:rPr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