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May 5, 2023   |   MSL: Sam Becker</w:t>
      </w:r>
    </w:p>
    <w:p>
      <w:r>
        <w:rPr>
          <w:b/>
          <w:sz w:val="21"/>
        </w:rPr>
        <w:t>HCP: Nikolai Underhill, MD, Willowmere Neuroscience Center, Bakersfield, CA (RSM)</w:t>
      </w:r>
    </w:p>
    <w:p>
      <w:r>
        <w:rPr>
          <w:sz w:val="21"/>
        </w:rPr>
      </w:r>
    </w:p>
    <w:p>
      <w:r>
        <w:rPr>
          <w:sz w:val="21"/>
        </w:rPr>
        <w:t>Stopped by in back office for productive convo.</w:t>
      </w:r>
    </w:p>
    <w:p>
      <w:r>
        <w:rPr>
          <w:sz w:val="21"/>
        </w:rPr>
      </w:r>
    </w:p>
    <w:p>
      <w:r>
        <w:rPr>
          <w:sz w:val="21"/>
        </w:rPr>
        <w:t>Asked whether I had seen a guideline update discussed at journal club; I had not, and offered nothing in return.</w:t>
      </w:r>
    </w:p>
    <w:p>
      <w:r>
        <w:rPr>
          <w:sz w:val="21"/>
        </w:rPr>
      </w:r>
    </w:p>
    <w:p>
      <w:r>
        <w:rPr>
          <w:sz w:val="21"/>
        </w:rPr>
        <w:t>Talked through older half of panel in general terms, without any specific case.</w:t>
      </w:r>
    </w:p>
    <w:p>
      <w:r>
        <w:rPr>
          <w:sz w:val="21"/>
        </w:rPr>
      </w:r>
    </w:p>
    <w:p>
      <w:r>
        <w:rPr>
          <w:sz w:val="21"/>
        </w:rPr>
        <w:t>Most of the discussion was about the scheduling system, which is still being sorted out.</w:t>
      </w:r>
    </w:p>
    <w:p>
      <w:r>
        <w:rPr>
          <w:sz w:val="21"/>
        </w:rPr>
      </w:r>
    </w:p>
    <w:p>
      <w:r>
        <w:rPr>
          <w:sz w:val="21"/>
        </w:rPr>
        <w:t>Referral patterns into this clinic have changed, and long-standing pts is a bigger share than it was.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