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January 12, 2024   |   From: Sam Becker,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half-hour meeting in the back office, first one this quarter.</w:t>
      </w:r>
    </w:p>
    <w:p>
      <w:r>
        <w:rPr>
          <w:sz w:val="21"/>
        </w:rPr>
        <w:t>&gt; Talked through refractory group in general terms, without any specific case.</w:t>
      </w:r>
    </w:p>
    <w:p>
      <w:r>
        <w:rPr>
          <w:sz w:val="21"/>
        </w:rPr>
        <w:t>&gt; The referral intake process changed again last month, and that took up the first part of the convo.</w:t>
      </w:r>
    </w:p>
    <w:p>
      <w:r>
        <w:rPr>
          <w:sz w:val="21"/>
        </w:rPr>
        <w:t>&gt; Noted that coverage paperwork is handled by one person here and that this is not specific to any one product.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Kenji Eversholt, MD, Copperfield Neurology Institute, Santa Fe, NM (RSM)</w:t>
      </w:r>
    </w:p>
    <w:p>
      <w:r>
        <w:rPr>
          <w:sz w:val="21"/>
        </w:rPr>
        <w:t>&gt; Asked whether I had seen case series someone forwarded; I had not, and offered nothing in return.</w:t>
      </w:r>
    </w:p>
    <w:p>
      <w:r>
        <w:rPr>
          <w:sz w:val="21"/>
        </w:rPr>
        <w:t>&gt; Described how refractory group is triaged now compared with before.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</w:r>
    </w:p>
    <w:p>
      <w:r>
        <w:rPr>
          <w:b/>
          <w:sz w:val="21"/>
        </w:rPr>
        <w:t>Imani Lindenmuth, MD, Sable Creek Medical Group, Lexington, KY (RSM)</w:t>
      </w:r>
    </w:p>
    <w:p>
      <w:r>
        <w:rPr>
          <w:sz w:val="21"/>
        </w:rPr>
        <w:t>&gt; Most of the discussion was about the new charting templates, which is still being sorted out.</w:t>
      </w:r>
    </w:p>
    <w:p>
      <w:r>
        <w:rPr>
          <w:sz w:val="21"/>
        </w:rPr>
        <w:t>&gt; Described how refractory group is triaged now compared with before.</w:t>
      </w:r>
    </w:p>
    <w:p>
      <w:r>
        <w:rPr>
          <w:sz w:val="21"/>
        </w:rPr>
        <w:t>&gt; Spent some time on newly referred pts and how workup decisions get sequenced.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</w:r>
    </w:p>
    <w:p>
      <w:r>
        <w:rPr>
          <w:b/>
          <w:sz w:val="21"/>
        </w:rPr>
        <w:t>Camila Montclaire, MD, Juniper Flats Neurology Partners, Fort Collins, CO (RSM)</w:t>
      </w:r>
    </w:p>
    <w:p>
      <w:r>
        <w:rPr>
          <w:sz w:val="21"/>
        </w:rPr>
        <w:t>&gt; The composition of newly referred patients has shifted over last year or two.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Viraj Ashgrove, MD, Ironwood Neurology Associates, Buffalo, NY (RSM)</w:t>
      </w:r>
    </w:p>
    <w:p>
      <w:r>
        <w:rPr>
          <w:sz w:val="21"/>
        </w:rPr>
        <w:t>&gt; An unexpectedly long meeting in the shared office, first one this quarter.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Darius Prendergast, MD, Quarry Hill Epilepsy Center, Duluth, MN (RSM)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Onboarding a front-desk coordinator is teh current preoccupation here.</w:t>
      </w:r>
    </w:p>
    <w:p>
      <w:r>
        <w:rPr>
          <w:sz w:val="21"/>
        </w:rPr>
        <w:t>&gt; Spent some time on teh pediatric-to-adult transfers and how workup decisions get sequenced.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  <w:t>&gt; No materials requested. Safety items asked about adn confirmed none.</w:t>
      </w:r>
    </w:p>
    <w:p>
      <w:r>
        <w:rPr>
          <w:sz w:val="21"/>
        </w:rPr>
      </w:r>
    </w:p>
    <w:p>
      <w:r>
        <w:rPr>
          <w:b/>
          <w:sz w:val="21"/>
        </w:rPr>
        <w:t>Gemma Oakhurst, MD, Palmetto Neurology Institute, Fort Wayne, IN (RSM)</w:t>
      </w:r>
    </w:p>
    <w:p>
      <w:r>
        <w:rPr>
          <w:sz w:val="21"/>
        </w:rPr>
        <w:t>&gt; A fragmented meeting in the corridor, first one this quarter.</w:t>
      </w:r>
    </w:p>
    <w:p>
      <w:r>
        <w:rPr>
          <w:sz w:val="21"/>
        </w:rPr>
        <w:t>&gt; The new-patient backlog looks better than last year since summer, which shapes how much time there is for anything else.</w:t>
      </w:r>
    </w:p>
    <w:p>
      <w:r>
        <w:rPr>
          <w:sz w:val="21"/>
        </w:rPr>
        <w:t>&gt; The composition of older half of panel has shifted over last year or two.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Nothing that needed follow-up.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Kiara Hollingsworth, MD, Riverstone Comprehensive Epilepsy Clinic, Jackson, MS (RSM)</w:t>
      </w:r>
    </w:p>
    <w:p>
      <w:r>
        <w:rPr>
          <w:sz w:val="21"/>
        </w:rPr>
        <w:t>&gt; Caught a brief window in back office between pts.</w:t>
      </w:r>
    </w:p>
    <w:p>
      <w:r>
        <w:rPr>
          <w:sz w:val="21"/>
        </w:rPr>
        <w:t>&gt; Described preference for slower titration in general, unrelated to any particular pt.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Talked through long-standing pts in general terms, without any specific case.</w:t>
      </w:r>
    </w:p>
    <w:p>
      <w:r>
        <w:rPr>
          <w:sz w:val="21"/>
        </w:rPr>
        <w:t>&gt; The referral queue is slowly recovering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Renata Hollingsworth, MD, Silver Creek Medical Group, Peoria, IL (AR)</w:t>
      </w:r>
    </w:p>
    <w:p>
      <w:r>
        <w:rPr>
          <w:sz w:val="21"/>
        </w:rPr>
        <w:t>&gt; Caught a full window by the scheduling desk between pts.</w:t>
      </w:r>
    </w:p>
    <w:p>
      <w:r>
        <w:rPr>
          <w:sz w:val="21"/>
        </w:rPr>
        <w:t>&gt; Onboarding one of nurse practitioners is current preoccupation here.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Ilse Merriwether, MD, Fox Hollow Neurology Partners, Providence, RI (RSM)</w:t>
      </w:r>
    </w:p>
    <w:p>
      <w:r>
        <w:rPr>
          <w:sz w:val="21"/>
        </w:rPr>
        <w:t>&gt; Stopped by in conference room for a clipped convo.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Nothing that needed f/u. Safety items asked about and confirmed none.</w:t>
      </w:r>
    </w:p>
    <w:p>
      <w:r>
        <w:rPr>
          <w:sz w:val="21"/>
        </w:rPr>
        <w:t>&gt; The practice lost two medical assistants and has not backfilled, so the new-pt backlog keeps slipping.</w:t>
      </w:r>
    </w:p>
    <w:p>
      <w:r>
        <w:rPr>
          <w:sz w:val="21"/>
        </w:rPr>
        <w:t>&gt; Onboarding rotating resident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Sonali Wycliffe, MD, Windrow Neuroscience Center, Eugene, OR (RSM)</w:t>
      </w:r>
    </w:p>
    <w:p>
      <w:r>
        <w:rPr>
          <w:sz w:val="21"/>
        </w:rPr>
        <w:t>&gt; Asked whether I had seen case series someone forwarded; I had not, and offered nothing in return.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  <w:t>&gt; Spent some time on older half of panel and how workup decisions get sequenced.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Delphine Kirkpatrick, MD, Copperfield Neurology Institute, Mobile, AL (RSM)</w:t>
      </w:r>
    </w:p>
    <w:p>
      <w:r>
        <w:rPr>
          <w:sz w:val="21"/>
        </w:rPr>
        <w:t>&gt; The patient portal went live without much warning, and that took up the first part of the convo.</w:t>
      </w:r>
    </w:p>
    <w:p>
      <w:r>
        <w:rPr>
          <w:sz w:val="21"/>
        </w:rPr>
        <w:t>&gt; Noted that appeals process remains slowest step and that this is not specific to any one product.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