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March 2, 2024   |   MSL: Nadia Belhadj</w:t>
      </w:r>
    </w:p>
    <w:p>
      <w:r>
        <w:rPr>
          <w:b/>
          <w:sz w:val="21"/>
        </w:rPr>
        <w:t>HCP: Hamish Marchetti, MD, Riverstone Comprehensive Epilepsy Clinic, Hartford, CT (RSM)</w:t>
      </w:r>
    </w:p>
    <w:p>
      <w:r>
        <w:rPr>
          <w:sz w:val="21"/>
        </w:rPr>
      </w:r>
    </w:p>
    <w:p>
      <w:r>
        <w:rPr>
          <w:sz w:val="21"/>
        </w:rPr>
        <w:t>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sz w:val="21"/>
        </w:rPr>
        <w:t>Referenced a review that circulated on the service in passing.</w:t>
      </w:r>
    </w:p>
    <w:p>
      <w:r>
        <w:rPr>
          <w:sz w:val="21"/>
        </w:rPr>
      </w:r>
    </w:p>
    <w:p>
      <w:r>
        <w:rPr>
          <w:sz w:val="21"/>
        </w:rPr>
        <w:t>The composition of the refractory group has shifted over the last year or two.</w:t>
      </w:r>
    </w:p>
    <w:p>
      <w:r>
        <w:rPr>
          <w:sz w:val="21"/>
        </w:rPr>
      </w:r>
    </w:p>
    <w:p>
      <w:r>
        <w:rPr>
          <w:sz w:val="21"/>
        </w:rPr>
        <w:t>Nothing that needed follow-up this time. Asked about safety and confirmed nothing to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