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March 11, 2024   |   From: Dana Cho, Rachel Suh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Gemma Norrington, MD, Foxglove Health Neurology, Portland, ME (RSM)</w:t>
      </w:r>
    </w:p>
    <w:p>
      <w:r>
        <w:rPr>
          <w:sz w:val="21"/>
        </w:rPr>
        <w:t>&gt; Caught a clipped window between clinic blocks between patients.</w:t>
      </w:r>
    </w:p>
    <w:p>
      <w:r>
        <w:rPr>
          <w:sz w:val="21"/>
        </w:rPr>
        <w:t>&gt; The practice lost the epilepsy fellow and has not backfilled, so clinic throughput keeps slipping.</w:t>
      </w:r>
    </w:p>
    <w:p>
      <w:r>
        <w:rPr>
          <w:sz w:val="21"/>
        </w:rPr>
        <w:t>&gt; Most of the discussion was about the scheduling system, which is being piloted this quarter.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Noted that coverage paperwork has improved somewhat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Harold Jessup, MD, Magnolia Grove Clinic, Jackson, MS (AR)</w:t>
      </w:r>
    </w:p>
    <w:p>
      <w:r>
        <w:rPr>
          <w:sz w:val="21"/>
        </w:rPr>
        <w:t>&gt; Caught a clipped window in the workroom between patients.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Kiara Ellingham, MD, Lakeshore Neurological Care Center, Buffalo, NY (RSM)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  <w:t>&gt; The practice lost a rotating resident and has not backfilled, so routine follow-up slots looks better than last year.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  <w:t>&gt; Described how long-standing patients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Eloise Wycliffe, MD, Marbury Neurological Care Center, Providence, RI (RSM)</w:t>
      </w:r>
    </w:p>
    <w:p>
      <w:r>
        <w:rPr>
          <w:sz w:val="21"/>
        </w:rPr>
        <w:t>&gt; Caught an unexpectedly long window in the conference room between patients.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Talked through newly referred patients in general terms, without any specific case.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Leonie Underhill, MD, Juniper Flats Neurology Partners, Peoria, IL (RSM)</w:t>
      </w:r>
    </w:p>
    <w:p>
      <w:r>
        <w:rPr>
          <w:sz w:val="21"/>
        </w:rPr>
        <w:t>&gt; Noted that the appeals process varies by payer and that this is not specific to any one product.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  <w:t>&gt; The scheduling system has not settled, and that took up the first part of the conversation.</w:t>
      </w:r>
    </w:p>
    <w:p>
      <w:r>
        <w:rPr>
          <w:sz w:val="21"/>
        </w:rPr>
        <w:t>&gt; Described how long-standing patients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Arvind Corliss, MD, Bluestem Comprehensive Epilepsy Clinic, Lakeland, FL (RSM)</w:t>
      </w:r>
    </w:p>
    <w:p>
      <w:r>
        <w:rPr>
          <w:sz w:val="21"/>
        </w:rPr>
        <w:t>&gt; A clipped meeting at the end of the clinic list, first one this quarter.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Most of the discussion was about the prior-authorization workflow, which has not settled.</w:t>
      </w:r>
    </w:p>
    <w:p>
      <w:r>
        <w:rPr>
          <w:sz w:val="21"/>
        </w:rPr>
      </w:r>
    </w:p>
    <w:p>
      <w:r>
        <w:rPr>
          <w:b/>
          <w:sz w:val="21"/>
        </w:rPr>
        <w:t>Tadeo Eastmond, MD, Sable Creek Medical Group, Provo, UT (RSM)</w:t>
      </w:r>
    </w:p>
    <w:p>
      <w:r>
        <w:rPr>
          <w:sz w:val="21"/>
        </w:rPr>
        <w:t>&gt; Routine follow-up slots keeps slipping since the summer, which shapes how much time there is for anything else.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Left it at that, with a follow-up appointment to be scheduled.</w:t>
      </w:r>
    </w:p>
    <w:p>
      <w:r>
        <w:rPr>
          <w:sz w:val="21"/>
        </w:rPr>
      </w:r>
    </w:p>
    <w:p>
      <w:r>
        <w:rPr>
          <w:b/>
          <w:sz w:val="21"/>
        </w:rPr>
        <w:t>Lukas Fenwicke, MD, Willowmere Neuroscience Center, Boise, ID (RSM)</w:t>
      </w:r>
    </w:p>
    <w:p>
      <w:r>
        <w:rPr>
          <w:sz w:val="21"/>
        </w:rPr>
        <w:t>&gt; Routine follow-up slots is slowly recovering since the summer, which shapes how much time there is for anything else.</w:t>
      </w:r>
    </w:p>
    <w:p>
      <w:r>
        <w:rPr>
          <w:sz w:val="21"/>
        </w:rPr>
        <w:t>&gt; Most of the discussion was about the new charting templates, which is still being sorted out.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