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September 17, 2024   |   MSL: Rachel Suh</w:t>
      </w:r>
    </w:p>
    <w:p>
      <w:r>
        <w:rPr>
          <w:b/>
          <w:sz w:val="21"/>
        </w:rPr>
        <w:t>HCP: Rasmus Cavanaugh, MD, Bayview Health Neurology, Boise, ID (RSM)</w:t>
      </w:r>
    </w:p>
    <w:p>
      <w:r>
        <w:rPr>
          <w:sz w:val="21"/>
        </w:rPr>
      </w:r>
    </w:p>
    <w:p>
      <w:r>
        <w:rPr>
          <w:sz w:val="21"/>
        </w:rPr>
        <w:t>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sz w:val="21"/>
        </w:rPr>
        <w:t>Onboarding the clinic pharmacist is the current preoccupation here.</w:t>
      </w:r>
    </w:p>
    <w:p>
      <w:r>
        <w:rPr>
          <w:sz w:val="21"/>
        </w:rPr>
      </w:r>
    </w:p>
    <w:p>
      <w:r>
        <w:rPr>
          <w:sz w:val="21"/>
        </w:rPr>
        <w:t>Asked whether I had seen a guideline update discussed at journal club; I had not, and offered nothing in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