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November 12, 2024   |   From: Nadia Belhadj, Yuki Tanabe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Ulrike Eversholt, MD, Thornfield Regional Epilepsy Program, Portland, ME (AR)</w:t>
      </w:r>
    </w:p>
    <w:p>
      <w:r>
        <w:rPr>
          <w:sz w:val="21"/>
        </w:rPr>
        <w:t>&gt; A compressed visit in the conference room; the schedule was tight.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Referral patterns into this clinic have changed, and the surgical workup list is a bigger share than it was.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Xiomara Barrowman, MD, Beacon Hill Neurology Associates, Omaha, NE (RSM)</w:t>
      </w:r>
    </w:p>
    <w:p>
      <w:r>
        <w:rPr>
          <w:sz w:val="21"/>
        </w:rPr>
        <w:t>&gt; Stopped by by the scheduling desk for a full conversation.</w:t>
      </w:r>
    </w:p>
    <w:p>
      <w:r>
        <w:rPr>
          <w:sz w:val="21"/>
        </w:rPr>
        <w:t>&gt; Most of the discussion was about the patient portal, which changed again last month.</w:t>
      </w:r>
    </w:p>
    <w:p>
      <w:r>
        <w:rPr>
          <w:sz w:val="21"/>
        </w:rPr>
        <w:t>&gt; Referenced a session summary from a colleague in passing.</w:t>
      </w:r>
    </w:p>
    <w:p>
      <w:r>
        <w:rPr>
          <w:sz w:val="21"/>
        </w:rPr>
      </w:r>
    </w:p>
    <w:p>
      <w:r>
        <w:rPr>
          <w:b/>
          <w:sz w:val="21"/>
        </w:rPr>
        <w:t>Rohan Barrowman, MD, Beacon Hill Neurology Associates, Roanoke, VA (AR)</w:t>
      </w:r>
    </w:p>
    <w:p>
      <w:r>
        <w:rPr>
          <w:sz w:val="21"/>
        </w:rPr>
        <w:t>&gt; A clipped meeting between clinic blocks, first one this quarter.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Referral patterns into this clinic have changed, and the refractory group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Saoirse Stanhope, MD, Northbrook Neurology Institute, Allentown, PA (AR)</w:t>
      </w:r>
    </w:p>
    <w:p>
      <w:r>
        <w:rPr>
          <w:sz w:val="21"/>
        </w:rPr>
        <w:t>&gt; Stopped by in teh workroom for a clipped conversation.</w:t>
      </w:r>
    </w:p>
    <w:p>
      <w:r>
        <w:rPr>
          <w:sz w:val="21"/>
        </w:rPr>
        <w:t>&gt; Talked through teh refractory group in general terms, without any specific case.</w:t>
      </w:r>
    </w:p>
    <w:p>
      <w:r>
        <w:rPr>
          <w:sz w:val="21"/>
        </w:rPr>
        <w:t>&gt; The patient portal is being piloted this quarter, and that took up teh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Alastair Harkness, MD, Quarry Hill Epilepsy Center, Scranton, PA (RSM)</w:t>
      </w:r>
    </w:p>
    <w:p>
      <w:r>
        <w:rPr>
          <w:sz w:val="21"/>
        </w:rPr>
        <w:t>&gt; Caught a brief window in the back office between patients.</w:t>
      </w:r>
    </w:p>
    <w:p>
      <w:r>
        <w:rPr>
          <w:sz w:val="21"/>
        </w:rPr>
        <w:t>&gt; Onboarding the epilepsy fellow is the current preoccupation here.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Described how the surgical workup list is triaged now compared with before.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Lachlan Dunmore, MD, Sandhill Neuroscience Center, Reno, NV (RSM)</w:t>
      </w:r>
    </w:p>
    <w:p>
      <w:r>
        <w:rPr>
          <w:sz w:val="21"/>
        </w:rPr>
        <w:t>&gt; A twenty-minute conversation in the reading room, mostly logistics.</w:t>
      </w:r>
    </w:p>
    <w:p>
      <w:r>
        <w:rPr>
          <w:sz w:val="21"/>
        </w:rPr>
        <w:t>&gt; Talked through the refractory group in general terms, without any specific case.</w:t>
      </w:r>
    </w:p>
    <w:p>
      <w:r>
        <w:rPr>
          <w:sz w:val="21"/>
        </w:rPr>
        <w:t>&gt; Noted that benefit checks remains the slowest step and that this is not specific to any one product.</w:t>
      </w:r>
    </w:p>
    <w:p>
      <w:r>
        <w:rPr>
          <w:sz w:val="21"/>
        </w:rPr>
        <w:t>&gt; Nothing actionable this visit. Safety items asked about and confirmed none.</w:t>
      </w:r>
    </w:p>
    <w:p>
      <w:r>
        <w:rPr>
          <w:sz w:val="21"/>
        </w:rPr>
        <w:t>&gt; The practice lost two medical assistants and has not backfilled, so clinic throughput is slowly recovering.</w:t>
      </w:r>
    </w:p>
    <w:p>
      <w:r>
        <w:rPr>
          <w:sz w:val="21"/>
        </w:rPr>
      </w:r>
    </w:p>
    <w:p>
      <w:r>
        <w:rPr>
          <w:b/>
          <w:sz w:val="21"/>
        </w:rPr>
        <w:t>Malika Silverthorne, MD, Kestrel Comprehensive Epilepsy Clinic, Duluth, MN (AR)</w:t>
      </w:r>
    </w:p>
    <w:p>
      <w:r>
        <w:rPr>
          <w:sz w:val="21"/>
        </w:rPr>
        <w:t>&gt; A half-hour meeting in the corridor, first one this quarter.</w:t>
      </w:r>
    </w:p>
    <w:p>
      <w:r>
        <w:rPr>
          <w:sz w:val="21"/>
        </w:rPr>
        <w:t>&gt; No materials requested. Safety items asked about and confirmed none.</w:t>
      </w:r>
    </w:p>
    <w:p>
      <w:r>
        <w:rPr>
          <w:sz w:val="21"/>
        </w:rPr>
        <w:t>&gt; Spent some time on the refractory group and how workup decisions get sequenced.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Rosalind Kettleborn, MD, Ember Lake Medical Group, Providence, RI (RSM)</w:t>
      </w:r>
    </w:p>
    <w:p>
      <w:r>
        <w:rPr>
          <w:sz w:val="21"/>
        </w:rPr>
        <w:t>&gt; Caught a fragmented window in the back office between patients.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The scheduling system has not settled, and that took up the first part of the conversation.</w:t>
      </w:r>
    </w:p>
    <w:p>
      <w:r>
        <w:rPr>
          <w:sz w:val="21"/>
        </w:rPr>
        <w:t>&gt; Referral patterns into this clinic have changed, and the surgical workup list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Yolanda Reyes, MD, Copper Mesa Neurology, Mesa, AZ (RSM)</w:t>
      </w:r>
    </w:p>
    <w:p>
      <w:r>
        <w:rPr>
          <w:sz w:val="21"/>
        </w:rPr>
        <w:t>&gt; An unhurried meeting at the end of the clinic list, first one this quarter.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Noted that formulary questions has improved somewhat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Kiara Hollingsworth, MD, Riverstone Comprehensive Epilepsy Clinic, Jackson, MS (RSM)</w:t>
      </w:r>
    </w:p>
    <w:p>
      <w:r>
        <w:rPr>
          <w:sz w:val="21"/>
        </w:rPr>
        <w:t>&gt; No product discussion. Safety items asked about and confirmed none.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  <w:t>&gt; Described how the older half of the panel is triaged now compared with before.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Referral patterns into this clinic have changed, and newly referred patients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Odalys Corliss, MD, Ironwood Neurology Associates, Syracuse, NY (RSM)</w:t>
      </w:r>
    </w:p>
    <w:p>
      <w:r>
        <w:rPr>
          <w:sz w:val="21"/>
        </w:rPr>
        <w:t>&gt; Agreed to reconnect at a call later this month; no product discussion.</w:t>
      </w:r>
    </w:p>
    <w:p>
      <w:r>
        <w:rPr>
          <w:sz w:val="21"/>
        </w:rPr>
        <w:t>&gt; Referenced a session summary from a colleague in passing.</w:t>
      </w:r>
    </w:p>
    <w:p>
      <w:r>
        <w:rPr>
          <w:sz w:val="21"/>
        </w:rPr>
        <w:t>&gt; The composition of the pediatric-to-adult transfers has shifted over the last year or two.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</w:r>
    </w:p>
    <w:p>
      <w:r>
        <w:rPr>
          <w:b/>
          <w:sz w:val="21"/>
        </w:rPr>
        <w:t>Bram Merriwether, MD, Willowmere Neuroscience Center, Toledo, OH (RSM)</w:t>
      </w:r>
    </w:p>
    <w:p>
      <w:r>
        <w:rPr>
          <w:sz w:val="21"/>
        </w:rPr>
        <w:t>&gt; Caught an unhurried window at the end of the clinic list between patients.</w:t>
      </w:r>
    </w:p>
    <w:p>
      <w:r>
        <w:rPr>
          <w:sz w:val="21"/>
        </w:rPr>
        <w:t>&gt; Mentioned a review that circulated on the service but did not raise any specific finding.</w:t>
      </w:r>
    </w:p>
    <w:p>
      <w:r>
        <w:rPr>
          <w:sz w:val="21"/>
        </w:rPr>
        <w:t>&gt; Noted that formulary questions remains the slowest step and that this is not specific to any one product.</w:t>
      </w:r>
    </w:p>
    <w:p>
      <w:r>
        <w:rPr>
          <w:sz w:val="21"/>
        </w:rPr>
        <w:t>&gt; Referral patterns into this clinic have changed, and newly referred patients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Delphine Dunmore, MD, Windrow Neuroscience Center, Wichita, KS (AR)</w:t>
      </w:r>
    </w:p>
    <w:p>
      <w:r>
        <w:rPr>
          <w:sz w:val="21"/>
        </w:rPr>
        <w:t>&gt; A clipped visit in the reading room; the schedule was tight.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Noted that benefit checks varies by payer and that this is not specific to any one product.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