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December 23, 2024   |   MSL: Dana Cho</w:t>
      </w:r>
    </w:p>
    <w:p>
      <w:r>
        <w:rPr>
          <w:b/>
          <w:sz w:val="21"/>
        </w:rPr>
        <w:t>HCP: Cormac Grierson, MD, Palmetto Neurology Institute, Buffalo, NY (RSM)</w:t>
      </w:r>
    </w:p>
    <w:p>
      <w:r>
        <w:rPr>
          <w:sz w:val="21"/>
        </w:rPr>
      </w:r>
    </w:p>
    <w:p>
      <w:r>
        <w:rPr>
          <w:sz w:val="21"/>
        </w:rPr>
        <w:t>Referenced a guideline update discussed at journal club in passing.</w:t>
      </w:r>
    </w:p>
    <w:p>
      <w:r>
        <w:rPr>
          <w:sz w:val="21"/>
        </w:rPr>
      </w:r>
    </w:p>
    <w:p>
      <w:r>
        <w:rPr>
          <w:sz w:val="21"/>
        </w:rPr>
        <w:t>Most of the discussion was about the scheduling system, which has not settled.</w:t>
      </w:r>
    </w:p>
    <w:p>
      <w:r>
        <w:rPr>
          <w:sz w:val="21"/>
        </w:rPr>
      </w:r>
    </w:p>
    <w:p>
      <w:r>
        <w:rPr>
          <w:sz w:val="21"/>
        </w:rPr>
        <w:t>Nothing actionable this visit this time. Asked about safety and confirmed nothing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