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March 14, 2025   |   From: Yuki Tanabe, Dana Cho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Gemma Thistlewood, MD, Beacon Hill Neurology Associates, Mobile, AL (RSM)</w:t>
      </w:r>
    </w:p>
    <w:p>
      <w:r>
        <w:rPr>
          <w:sz w:val="21"/>
        </w:rPr>
        <w:t>&gt; A full conversation in the corridor, mostly logistics.</w:t>
      </w:r>
    </w:p>
    <w:p>
      <w:r>
        <w:rPr>
          <w:sz w:val="21"/>
        </w:rPr>
        <w:t>&gt; The prior-authorization workflow changed again last month, and that took up the first part of the conversation.</w:t>
      </w:r>
    </w:p>
    <w:p>
      <w:r>
        <w:rPr>
          <w:sz w:val="21"/>
        </w:rPr>
        <w:t>&gt; The practice lost the clinic pharmacist and has not backfilled, so routine follow-up slots keeps slipping.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  <w:t>&gt; Closed there — nothing that needed follow-up.</w:t>
      </w:r>
    </w:p>
    <w:p>
      <w:r>
        <w:rPr>
          <w:sz w:val="21"/>
        </w:rPr>
      </w:r>
    </w:p>
    <w:p>
      <w:r>
        <w:rPr>
          <w:b/>
          <w:sz w:val="21"/>
        </w:rPr>
        <w:t>Arvind Pemberton, MD, Saltmarsh Neurological Care Center, Madison, WI (AR)</w:t>
      </w:r>
    </w:p>
    <w:p>
      <w:r>
        <w:rPr>
          <w:sz w:val="21"/>
        </w:rPr>
        <w:t>&gt; A half-hour visit in the reading room; the schedule was tight.</w:t>
      </w:r>
    </w:p>
    <w:p>
      <w:r>
        <w:rPr>
          <w:sz w:val="21"/>
        </w:rPr>
        <w:t>&gt; The practice lost a rotating resident and has not backfilled, so routine follow-up slots looks better than last year.</w:t>
      </w:r>
    </w:p>
    <w:p>
      <w:r>
        <w:rPr>
          <w:sz w:val="21"/>
        </w:rPr>
        <w:t>&gt; Described how the refractory group is triaged now compared with before.</w:t>
      </w:r>
    </w:p>
    <w:p>
      <w:r>
        <w:rPr>
          <w:sz w:val="21"/>
        </w:rPr>
        <w:t>&gt; The composition of long-standing patients has shifted over the last year or two.</w:t>
      </w:r>
    </w:p>
    <w:p>
      <w:r>
        <w:rPr>
          <w:sz w:val="21"/>
        </w:rPr>
      </w:r>
    </w:p>
    <w:p>
      <w:r>
        <w:rPr>
          <w:b/>
          <w:sz w:val="21"/>
        </w:rPr>
        <w:t>Kenji Wycliffe, MD, Cedar Ridge Regional Epilepsy Program, Tacoma, WA (RSM)</w:t>
      </w:r>
    </w:p>
    <w:p>
      <w:r>
        <w:rPr>
          <w:sz w:val="21"/>
        </w:rPr>
        <w:t>&gt; A twenty-minute meeting in the conference room, first one this quarter.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  <w:t>&gt; The practice lost a front-desk coordinator and has not backfilled, so the new-patient backlog is slowly recovering.</w:t>
      </w:r>
    </w:p>
    <w:p>
      <w:r>
        <w:rPr>
          <w:sz w:val="21"/>
        </w:rPr>
        <w:t>&gt; Closed there — nothing that needed follow-up.</w:t>
      </w:r>
    </w:p>
    <w:p>
      <w:r>
        <w:rPr>
          <w:sz w:val="21"/>
        </w:rPr>
        <w:t>&gt; Asked me to send the drug-drug interaction table for geriatric polypharmacy cases.</w:t>
      </w:r>
    </w:p>
    <w:p>
      <w:r>
        <w:rPr>
          <w:sz w:val="21"/>
        </w:rPr>
      </w:r>
    </w:p>
    <w:p>
      <w:r>
        <w:rPr>
          <w:b/>
          <w:sz w:val="21"/>
        </w:rPr>
        <w:t>Silvio Wycliffe, MD, Highmoor Health Neurology, Reno, NV (RSM)</w:t>
      </w:r>
    </w:p>
    <w:p>
      <w:r>
        <w:rPr>
          <w:sz w:val="21"/>
        </w:rPr>
        <w:t>&gt; Stopped by in the corridor for a full conversation.</w:t>
      </w:r>
    </w:p>
    <w:p>
      <w:r>
        <w:rPr>
          <w:sz w:val="21"/>
        </w:rPr>
        <w:t>&gt; Referenced a review that circulated on the service in passing.</w:t>
      </w:r>
    </w:p>
    <w:p>
      <w:r>
        <w:rPr>
          <w:sz w:val="21"/>
        </w:rPr>
        <w:t>&gt; Left it at that, with a follow-up appointment to be scheduled.</w:t>
      </w:r>
    </w:p>
    <w:p>
      <w:r>
        <w:rPr>
          <w:sz w:val="21"/>
        </w:rPr>
        <w:t>&gt; The composition of the pediatric-to-adult transfers has shifted over the last year or two.</w:t>
      </w:r>
    </w:p>
    <w:p>
      <w:r>
        <w:rPr>
          <w:sz w:val="21"/>
        </w:rPr>
      </w:r>
    </w:p>
    <w:p>
      <w:r>
        <w:rPr>
          <w:b/>
          <w:sz w:val="21"/>
        </w:rPr>
        <w:t>Mairead Rusnak, MD, Foxglove Health Neurology, Portland, ME (AR)</w:t>
      </w:r>
    </w:p>
    <w:p>
      <w:r>
        <w:rPr>
          <w:sz w:val="21"/>
        </w:rPr>
        <w:t>&gt; An unexpectedly long visit in the workroom; the schedule was tight.</w:t>
      </w:r>
    </w:p>
    <w:p>
      <w:r>
        <w:rPr>
          <w:sz w:val="21"/>
        </w:rPr>
        <w:t>&gt; Agreed to reconnect at the following quarter; nothing that needed follow-up.</w:t>
      </w:r>
    </w:p>
    <w:p>
      <w:r>
        <w:rPr>
          <w:sz w:val="21"/>
        </w:rPr>
        <w:t>&gt; Mentioned a review that circulated on the service but did not raise any specific finding.</w:t>
      </w:r>
    </w:p>
    <w:p>
      <w:r>
        <w:rPr>
          <w:sz w:val="21"/>
        </w:rPr>
        <w:t>&gt; Spent some time on the surgical workup list and how workup decisions get sequenced.</w:t>
      </w:r>
    </w:p>
    <w:p>
      <w:r>
        <w:rPr>
          <w:sz w:val="21"/>
        </w:rPr>
      </w:r>
    </w:p>
    <w:p>
      <w:r>
        <w:rPr>
          <w:b/>
          <w:sz w:val="21"/>
        </w:rPr>
        <w:t>Anouk Pemberton, MD, Windrow Neuroscience Center, Missoula, MT (RSM)</w:t>
      </w:r>
    </w:p>
    <w:p>
      <w:r>
        <w:rPr>
          <w:sz w:val="21"/>
        </w:rPr>
        <w:t>&gt; Described how the pediatric-to-adult transfers is triaged now compared with before.</w:t>
      </w:r>
    </w:p>
    <w:p>
      <w:r>
        <w:rPr>
          <w:sz w:val="21"/>
        </w:rPr>
        <w:t>&gt; Agreed to reconnect at the following quarter; no specific request.</w:t>
      </w:r>
    </w:p>
    <w:p>
      <w:r>
        <w:rPr>
          <w:sz w:val="21"/>
        </w:rPr>
        <w:t>&gt; Asked whether I had seen a review that circulated on the service; I had not, and offered nothing in return.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</w:r>
    </w:p>
    <w:p>
      <w:r>
        <w:rPr>
          <w:b/>
          <w:sz w:val="21"/>
        </w:rPr>
        <w:t>Bastian Dellacroix, MD, Bluestem Comprehensive Epilepsy Clinic, Manchester, NH (RSM)</w:t>
      </w:r>
    </w:p>
    <w:p>
      <w:r>
        <w:rPr>
          <w:sz w:val="21"/>
        </w:rPr>
        <w:t>&gt; No product discussion. Safety items asked about and confirmed none.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  <w:t>&gt; The composition of long-standing patients has shifted over the last year or two.</w:t>
      </w:r>
    </w:p>
    <w:p>
      <w:r>
        <w:rPr>
          <w:sz w:val="21"/>
        </w:rPr>
        <w:t>&gt; Referenced a session summary from a colleague in passing.</w:t>
      </w:r>
    </w:p>
    <w:p>
      <w:r>
        <w:rPr>
          <w:sz w:val="21"/>
        </w:rPr>
      </w:r>
    </w:p>
    <w:p>
      <w:r>
        <w:rPr>
          <w:b/>
          <w:sz w:val="21"/>
        </w:rPr>
        <w:t>Quentin Grierson, MD, Northbrook Neurology Institute, Madison, WI (RSM)</w:t>
      </w:r>
    </w:p>
    <w:p>
      <w:r>
        <w:rPr>
          <w:sz w:val="21"/>
        </w:rPr>
        <w:t>&gt; A half-hour visit over a quick coffee; the schedule was tight.</w:t>
      </w:r>
    </w:p>
    <w:p>
      <w:r>
        <w:rPr>
          <w:sz w:val="21"/>
        </w:rPr>
        <w:t>&gt; Onboarding the clinic pharmacist is the current preoccupation here.</w:t>
      </w:r>
    </w:p>
    <w:p>
      <w:r>
        <w:rPr>
          <w:sz w:val="21"/>
        </w:rPr>
        <w:t>&gt; The practice lost the clinic pharmacist and has not backfilled, so the new-patient backlog looks better than last year.</w:t>
      </w:r>
    </w:p>
    <w:p>
      <w:r>
        <w:rPr>
          <w:sz w:val="21"/>
        </w:rPr>
        <w:t>&gt; The composition of long-standing patients has shifted over the last year or two.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