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September 15, 2025   |   From: Rachel Suh, Tom Alvarez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Susan Ratliff, MD, Harborlight Neurology, Portland, ME (AR)</w:t>
      </w:r>
    </w:p>
    <w:p>
      <w:r>
        <w:rPr>
          <w:sz w:val="21"/>
        </w:rPr>
        <w:t>&gt; A generous forty minutes despite a full schedule, and most of it spent on the older half of the panel, which is a large share of this practice.</w:t>
      </w:r>
    </w:p>
    <w:p>
      <w:r>
        <w:rPr>
          <w:sz w:val="21"/>
        </w:rPr>
        <w:t>&gt; The main hesitation with elderly patients is drug-drug interactions on top of already long medication lists.</w:t>
      </w:r>
    </w:p>
    <w:p>
      <w:r>
        <w:rPr>
          <w:sz w:val="21"/>
        </w:rPr>
        <w:t>&gt; Explained that the pharmacy review usually happens after the visit rather than during it, so a decision often waits a week, and asked very politely whether anything shorter than the label section exists that intake staff could work from.</w:t>
      </w:r>
    </w:p>
    <w:p>
      <w:r>
        <w:rPr>
          <w:sz w:val="21"/>
        </w:rPr>
        <w:t>&gt; I committed only to checking what may be shared and to bringing it at the next appt.</w:t>
      </w:r>
    </w:p>
    <w:p>
      <w:r>
        <w:rPr>
          <w:sz w:val="21"/>
        </w:rPr>
      </w:r>
    </w:p>
    <w:p>
      <w:r>
        <w:rPr>
          <w:b/>
          <w:sz w:val="21"/>
        </w:rPr>
        <w:t>Daniel Whitcomb, MD, Northbrook Neurology Institute, Albany, NY (RSM)</w:t>
      </w:r>
    </w:p>
    <w:p>
      <w:r>
        <w:rPr>
          <w:sz w:val="21"/>
        </w:rPr>
        <w:t>&gt; The transition-age population came up first, and without any prompting from me.</w:t>
      </w:r>
    </w:p>
    <w:p>
      <w:r>
        <w:rPr>
          <w:sz w:val="21"/>
        </w:rPr>
        <w:t>&gt; Keeps a running list of 15- and 16-year-olds with drug-resistant focal seizures who simply have to wait until 18 before cenobamate is even an option.</w:t>
      </w:r>
    </w:p>
    <w:p>
      <w:r>
        <w:rPr>
          <w:sz w:val="21"/>
        </w:rPr>
        <w:t>&gt; Was careful to frame this as a limit of what is approved rather than a request to work around it, and asked that the observation be carried back internally; I said I would log it as stated.</w:t>
      </w:r>
    </w:p>
    <w:p>
      <w:r>
        <w:rPr>
          <w:sz w:val="21"/>
        </w:rPr>
        <w:t>&gt; Referrals from two regional pediatric practices have increased this year, which is part of why that list keeps growing.</w:t>
      </w:r>
    </w:p>
    <w:p>
      <w:r>
        <w:rPr>
          <w:sz w:val="21"/>
        </w:rPr>
      </w:r>
    </w:p>
    <w:p>
      <w:r>
        <w:rPr>
          <w:b/>
          <w:sz w:val="21"/>
        </w:rPr>
        <w:t>Mei-Lin Tsang, MD, Bayview Epilepsy Associates, Oakland, CA (RSM)</w:t>
      </w:r>
    </w:p>
    <w:p>
      <w:r>
        <w:rPr>
          <w:sz w:val="21"/>
        </w:rPr>
        <w:t>&gt; A short conversation in the corridor between teaching sessions, and entirely about the academic calendar.</w:t>
      </w:r>
    </w:p>
    <w:p>
      <w:r>
        <w:rPr>
          <w:sz w:val="21"/>
        </w:rPr>
        <w:t>&gt; Two residents rotate onto the epilepsy service in October, and the fellowship journal club is moving to a Thursday evening slot so that the trainees on nights can still attend.</w:t>
      </w:r>
    </w:p>
    <w:p>
      <w:r>
        <w:rPr>
          <w:sz w:val="21"/>
        </w:rPr>
        <w:t>&gt; Asked whether I had recieved the updated rotation schedule from the program office, which I had not; that one is on me to chase.</w:t>
      </w:r>
    </w:p>
    <w:p>
      <w:r>
        <w:rPr>
          <w:sz w:val="21"/>
        </w:rPr>
        <w:t>&gt; No clinical or product discussion took place and nothing was requested.</w:t>
      </w:r>
    </w:p>
    <w:p>
      <w:r>
        <w:rPr>
          <w:sz w:val="21"/>
        </w:rPr>
      </w:r>
    </w:p>
    <w:p>
      <w:r>
        <w:rPr>
          <w:b/>
          <w:sz w:val="21"/>
        </w:rPr>
        <w:t>Grace Lindqvist, MD, Riverstone Medical Group, Hartford, CT (RSM)</w:t>
      </w:r>
    </w:p>
    <w:p>
      <w:r>
        <w:rPr>
          <w:sz w:val="21"/>
        </w:rPr>
        <w:t>&gt; Fifteen minutes between clinics, which the office kindly made room for at short notice.</w:t>
      </w:r>
    </w:p>
    <w:p>
      <w:r>
        <w:rPr>
          <w:sz w:val="21"/>
        </w:rPr>
        <w:t>&gt; Asked directly whether any adolescent dosing or safety data for cenobamate is on the horizon.</w:t>
      </w:r>
    </w:p>
    <w:p>
      <w:r>
        <w:rPr>
          <w:sz w:val="21"/>
        </w:rPr>
        <w:t>&gt; I explained that I am able to share published information within the approved adult indication for XCOPRI only, and that I would not speculate beyond it; the answer was accepted without pushback.</w:t>
      </w:r>
    </w:p>
    <w:p>
      <w:r>
        <w:rPr>
          <w:sz w:val="21"/>
        </w:rPr>
        <w:t>&gt; Open on my side: confirm with Medical Information what may be sent, and reply before the next visit.</w:t>
      </w:r>
    </w:p>
    <w:p>
      <w:r>
        <w:rPr>
          <w:sz w:val="21"/>
        </w:rPr>
      </w:r>
    </w:p>
    <w:p>
      <w:r>
        <w:rPr>
          <w:b/>
          <w:sz w:val="21"/>
        </w:rPr>
        <w:t>Esperanza Calderwood, MD, Vantage Park Regional Epilepsy Program, Burlington, VT (AR)</w:t>
      </w:r>
    </w:p>
    <w:p>
      <w:r>
        <w:rPr>
          <w:sz w:val="21"/>
        </w:rPr>
        <w:t>&gt; A brief meeting in the conference room, first one this quarter.</w:t>
      </w:r>
    </w:p>
    <w:p>
      <w:r>
        <w:rPr>
          <w:sz w:val="21"/>
        </w:rPr>
        <w:t>&gt; Requested a concise interaction summary for elderly patients on several concomitant medications.</w:t>
      </w:r>
    </w:p>
    <w:p>
      <w:r>
        <w:rPr>
          <w:sz w:val="21"/>
        </w:rPr>
        <w:t>&gt; Spent some time on long-standing patients and how workup decisions get sequenced.</w:t>
      </w:r>
    </w:p>
    <w:p>
      <w:r>
        <w:rPr>
          <w:sz w:val="21"/>
        </w:rPr>
        <w:t>&gt; Noted that benefit checks varies by payer and that this is not specific to any one product.</w:t>
      </w:r>
    </w:p>
    <w:p>
      <w:r>
        <w:rPr>
          <w:sz w:val="21"/>
        </w:rPr>
      </w:r>
    </w:p>
    <w:p>
      <w:r>
        <w:rPr>
          <w:b/>
          <w:sz w:val="21"/>
        </w:rPr>
        <w:t>Bastian Pemberton, MD, Granite Bay Epilepsy Center, Jackson, MS (RSM)</w:t>
      </w:r>
    </w:p>
    <w:p>
      <w:r>
        <w:rPr>
          <w:sz w:val="21"/>
        </w:rPr>
        <w:t>&gt; A twenty-minute visit at the end of the clinic list; the schedule was tight.</w:t>
      </w:r>
    </w:p>
    <w:p>
      <w:r>
        <w:rPr>
          <w:sz w:val="21"/>
        </w:rPr>
        <w:t>&gt; Mentioned a patient with years of uncontrolled seizures has had a genuinely uneventful quarter.</w:t>
      </w:r>
    </w:p>
    <w:p>
      <w:r>
        <w:rPr>
          <w:sz w:val="21"/>
        </w:rPr>
        <w:t>&gt; Asked whether I had seen a session summary from a colleague; I had not, and offered nothing in return.</w:t>
      </w:r>
    </w:p>
    <w:p>
      <w:r>
        <w:rPr>
          <w:sz w:val="21"/>
        </w:rPr>
      </w:r>
    </w:p>
    <w:p>
      <w:r>
        <w:rPr>
          <w:b/>
          <w:sz w:val="21"/>
        </w:rPr>
        <w:t>Mairead Corliss, MD, Willowmere Neuroscience Center, Hartford, CT (RSM)</w:t>
      </w:r>
    </w:p>
    <w:p>
      <w:r>
        <w:rPr>
          <w:sz w:val="21"/>
        </w:rPr>
        <w:t>&gt; Stopped by at the nurses' station for a clipped conversation.</w:t>
      </w:r>
    </w:p>
    <w:p>
      <w:r>
        <w:rPr>
          <w:sz w:val="21"/>
        </w:rPr>
        <w:t>&gt; Noted that the appeals process takes longer than the clinical decision and that this is not specific to any one product.</w:t>
      </w:r>
    </w:p>
    <w:p>
      <w:r>
        <w:rPr>
          <w:sz w:val="21"/>
        </w:rPr>
        <w:t>&gt; Raised an adult describing double vision on the current step.</w:t>
      </w:r>
    </w:p>
    <w:p>
      <w:r>
        <w:rPr>
          <w:sz w:val="21"/>
        </w:rPr>
        <w:t>&gt; Agreed to reconnect at the following quarter; no materials requested.</w:t>
      </w:r>
    </w:p>
    <w:p>
      <w:r>
        <w:rPr>
          <w:sz w:val="21"/>
        </w:rPr>
      </w:r>
    </w:p>
    <w:p>
      <w:r>
        <w:rPr>
          <w:b/>
          <w:sz w:val="21"/>
        </w:rPr>
        <w:t>Mairead Sandoval-Reyes, MD, Willowmere Neuroscience Center, Chattanooga, TN (RSM)</w:t>
      </w:r>
    </w:p>
    <w:p>
      <w:r>
        <w:rPr>
          <w:sz w:val="21"/>
        </w:rPr>
        <w:t>&gt; An unexpectedly long conversation by the scheduling desk, mostly logistics.</w:t>
      </w:r>
    </w:p>
    <w:p>
      <w:r>
        <w:rPr>
          <w:sz w:val="21"/>
        </w:rPr>
        <w:t>&gt; Shared that several drug-resistant adults finally responded after years of cycling medications.</w:t>
      </w:r>
    </w:p>
    <w:p>
      <w:r>
        <w:rPr>
          <w:sz w:val="21"/>
        </w:rPr>
        <w:t>&gt; Spent some time on newly referred patients and how workup decisions get sequenced.</w:t>
      </w:r>
    </w:p>
    <w:p>
      <w:r>
        <w:rPr>
          <w:sz w:val="21"/>
        </w:rPr>
      </w:r>
    </w:p>
    <w:p>
      <w:r>
        <w:rPr>
          <w:b/>
          <w:sz w:val="21"/>
        </w:rPr>
        <w:t>Malika Silverthorne, MD, Kestrel Comprehensive Epilepsy Clinic, Duluth, MN (AR)</w:t>
      </w:r>
    </w:p>
    <w:p>
      <w:r>
        <w:rPr>
          <w:sz w:val="21"/>
        </w:rPr>
        <w:t>&gt; Stopped by in the corridor for a compressed conversation.</w:t>
      </w:r>
    </w:p>
    <w:p>
      <w:r>
        <w:rPr>
          <w:sz w:val="21"/>
        </w:rPr>
        <w:t>&gt; Titration scheduling is handled by nursing staff, which the practice finds workable.</w:t>
      </w:r>
    </w:p>
    <w:p>
      <w:r>
        <w:rPr>
          <w:sz w:val="21"/>
        </w:rPr>
        <w:t>&gt; Mentioned two refractory adults who had failed several medications are now months into markedly fewer seizures.</w:t>
      </w:r>
    </w:p>
    <w:p>
      <w:r>
        <w:rPr>
          <w:sz w:val="21"/>
        </w:rPr>
        <w:t>&gt; Described how the refractory group is triaged now compared with before.</w:t>
      </w:r>
    </w:p>
    <w:p>
      <w:r>
        <w:rPr>
          <w:sz w:val="21"/>
        </w:rPr>
      </w:r>
    </w:p>
    <w:p>
      <w:r>
        <w:rPr>
          <w:b/>
          <w:sz w:val="21"/>
        </w:rPr>
        <w:t>Rasmus Ashgrove, MD, Northgate Neurology Partners, Waco, TX (RSM)</w:t>
      </w:r>
    </w:p>
    <w:p>
      <w:r>
        <w:rPr>
          <w:sz w:val="21"/>
        </w:rPr>
        <w:t>&gt; Described how the pediatric-to-adult transfers is triaged now compared with before.</w:t>
      </w:r>
    </w:p>
    <w:p>
      <w:r>
        <w:rPr>
          <w:sz w:val="21"/>
        </w:rPr>
        <w:t>&gt; Referenced a case series someone forwarded in passing.</w:t>
      </w:r>
    </w:p>
    <w:p>
      <w:r>
        <w:rPr>
          <w:sz w:val="21"/>
        </w:rPr>
        <w:t>&gt; The practice lost one of the nurse practitioners and has not backfilled, so the new-patient backlog has stretched out.</w:t>
      </w:r>
    </w:p>
    <w:p>
      <w:r>
        <w:rPr>
          <w:sz w:val="21"/>
        </w:rPr>
        <w:t>&gt; Noted one adult reporting daytime somnolence heavy enough to affect the commute.</w:t>
      </w:r>
    </w:p>
    <w:p>
      <w:r>
        <w:rPr>
          <w:sz w:val="21"/>
        </w:rPr>
        <w:t>&gt; The patient portal went live without much warning, and that took up the first part of the conversation.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