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October 5, 2025   |   MSL: Sunny Okafor</w:t>
      </w:r>
    </w:p>
    <w:p>
      <w:r>
        <w:rPr>
          <w:b/>
          <w:sz w:val="21"/>
        </w:rPr>
        <w:t>HCP: Zubin Cavanaugh, MD, Palmetto Neurology Institute, Spokane, WA (RSM)</w:t>
      </w:r>
    </w:p>
    <w:p>
      <w:r>
        <w:rPr>
          <w:sz w:val="21"/>
        </w:rPr>
      </w:r>
    </w:p>
    <w:p>
      <w:r>
        <w:rPr>
          <w:sz w:val="21"/>
        </w:rPr>
        <w:t>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sz w:val="21"/>
        </w:rPr>
        <w:t>No product discussion. Safety items asked about and confirmed none.</w:t>
      </w:r>
    </w:p>
    <w:p>
      <w:r>
        <w:rPr>
          <w:sz w:val="21"/>
        </w:rPr>
      </w:r>
    </w:p>
    <w:p>
      <w:r>
        <w:rPr>
          <w:sz w:val="21"/>
        </w:rPr>
        <w:t>Raised a patient with nausea since starting, now under observation.</w:t>
      </w:r>
    </w:p>
    <w:p>
      <w:r>
        <w:rPr>
          <w:sz w:val="21"/>
        </w:rPr>
      </w:r>
    </w:p>
    <w:p>
      <w:r>
        <w:rPr>
          <w:sz w:val="21"/>
        </w:rPr>
        <w:t>Mentioned a review that circulated on the service but did not raise any specific finding.</w:t>
      </w:r>
    </w:p>
    <w:p>
      <w:r>
        <w:rPr>
          <w:sz w:val="21"/>
        </w:rPr>
      </w:r>
    </w:p>
    <w:p>
      <w:r>
        <w:rPr>
          <w:sz w:val="21"/>
        </w:rPr>
        <w:t>Benefit checks varies by payer, which came up as a general frustration.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