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February 2, 2026   |   MSL: Sam Becker</w:t>
      </w:r>
    </w:p>
    <w:p>
      <w:r>
        <w:rPr>
          <w:b/>
          <w:sz w:val="21"/>
        </w:rPr>
        <w:t>HCP: Thandiwe Barrowman, MD, Quarry Hill Epilepsy Center, Sioux Falls, SD (RSM)</w:t>
      </w:r>
    </w:p>
    <w:p>
      <w:r>
        <w:rPr>
          <w:sz w:val="21"/>
        </w:rPr>
      </w:r>
    </w:p>
    <w:p>
      <w:r>
        <w:rPr>
          <w:sz w:val="21"/>
        </w:rPr>
        <w:t>A half-hour visit between clinic blocks; schedule was tight.</w:t>
      </w:r>
    </w:p>
    <w:p>
      <w:r>
        <w:rPr>
          <w:sz w:val="21"/>
        </w:rPr>
      </w:r>
    </w:p>
    <w:p>
      <w:r>
        <w:rPr>
          <w:sz w:val="21"/>
        </w:rPr>
        <w:t>Mostly small talk about the program and the venue.</w:t>
      </w:r>
    </w:p>
    <w:p>
      <w:r>
        <w:rPr>
          <w:sz w:val="21"/>
        </w:rPr>
      </w:r>
    </w:p>
    <w:p>
      <w:r>
        <w:rPr>
          <w:sz w:val="21"/>
        </w:rPr>
        <w:t>Spent some time on older half of panel and how workup decisions get sequenced.</w:t>
      </w:r>
    </w:p>
    <w:p>
      <w:r>
        <w:rPr>
          <w:sz w:val="21"/>
        </w:rPr>
      </w:r>
    </w:p>
    <w:p>
      <w:r>
        <w:rPr>
          <w:sz w:val="21"/>
        </w:rPr>
        <w:t>Said the clearest limitation right now is patients with generalized tonic-clonic seizures who cycle through the same medications with the same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