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April 20, 2026   |   MSL: Dana Cho</w:t>
      </w:r>
    </w:p>
    <w:p>
      <w:r>
        <w:rPr>
          <w:b/>
          <w:sz w:val="21"/>
        </w:rPr>
        <w:t>HCP: Mairead Sandoval-Reyes, MD, Willowmere Neuroscience Center, Chattanooga, TN (RSM)</w:t>
      </w:r>
    </w:p>
    <w:p>
      <w:r>
        <w:rPr>
          <w:sz w:val="21"/>
        </w:rPr>
      </w:r>
    </w:p>
    <w:p>
      <w:r>
        <w:rPr>
          <w:sz w:val="21"/>
        </w:rPr>
        <w:t>A half-hour conversation over a quick coffee, mostly logistics.</w:t>
      </w:r>
    </w:p>
    <w:p>
      <w:r>
        <w:rPr>
          <w:sz w:val="21"/>
        </w:rPr>
      </w:r>
    </w:p>
    <w:p>
      <w:r>
        <w:rPr>
          <w:sz w:val="21"/>
        </w:rPr>
        <w:t>Spent the last part of the visit on the frustration of having a well-tolerated option that the generalized population cannot access.</w:t>
      </w:r>
    </w:p>
    <w:p>
      <w:r>
        <w:rPr>
          <w:sz w:val="21"/>
        </w:rPr>
      </w:r>
    </w:p>
    <w:p>
      <w:r>
        <w:rPr>
          <w:sz w:val="21"/>
        </w:rPr>
        <w:t>Described how the refractory group is triaged now compared with before.</w:t>
      </w:r>
    </w:p>
    <w:p>
      <w:r>
        <w:rPr>
          <w:sz w:val="21"/>
        </w:rPr>
      </w:r>
    </w:p>
    <w:p>
      <w:r>
        <w:rPr>
          <w:sz w:val="21"/>
        </w:rPr>
        <w:t>Referral patterns into this clinic have changed, and the pediatric-to-adult transfers is a bigger share than it was.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