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August 8, 2026   |   MSL: Priya Menon</w:t>
      </w:r>
    </w:p>
    <w:p>
      <w:r>
        <w:rPr>
          <w:b/>
          <w:sz w:val="21"/>
        </w:rPr>
        <w:t>HCP: Lukas Fenwicke, MD, Willowmere Neuroscience Center, Boise, ID (RSM)</w:t>
      </w:r>
    </w:p>
    <w:p>
      <w:r>
        <w:rPr>
          <w:sz w:val="21"/>
        </w:rPr>
      </w:r>
    </w:p>
    <w:p>
      <w:r>
        <w:rPr>
          <w:sz w:val="21"/>
        </w:rPr>
        <w:t>An unhurried meeting at the nurses' station, first one this quarter.</w:t>
      </w:r>
    </w:p>
    <w:p>
      <w:r>
        <w:rPr>
          <w:sz w:val="21"/>
        </w:rPr>
      </w:r>
    </w:p>
    <w:p>
      <w:r>
        <w:rPr>
          <w:sz w:val="21"/>
        </w:rPr>
        <w:t>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sz w:val="21"/>
        </w:rPr>
        <w:t>The composition of the older half of the panel has shifted over the last year or two.</w:t>
      </w:r>
    </w:p>
    <w:p>
      <w:r>
        <w:rPr>
          <w:sz w:val="21"/>
        </w:rPr>
      </w:r>
    </w:p>
    <w:p>
      <w:r>
        <w:rPr>
          <w:sz w:val="21"/>
        </w:rPr>
        <w:t>Flagged the 12-to-17 population, described as the place where the treatment gap is widest.</w:t>
      </w:r>
    </w:p>
    <w:p>
      <w:r>
        <w:rPr>
          <w:sz w:val="21"/>
        </w:rPr>
      </w:r>
    </w:p>
    <w:p>
      <w:r>
        <w:rPr>
          <w:sz w:val="21"/>
        </w:rPr>
        <w:t>Asked whether I had seen a case series someone forwarded; I had not, and offered nothing in return.</w:t>
      </w:r>
    </w:p>
    <w:p>
      <w:r>
        <w:rPr>
          <w:sz w:val="21"/>
        </w:rPr>
      </w:r>
    </w:p>
    <w:p>
      <w:r>
        <w:rPr>
          <w:sz w:val="21"/>
        </w:rPr>
        <w:t>Compared notes on which sessions were worth the 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