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April 2, 2021   |   MSL: Dana Cho</w:t>
      </w:r>
    </w:p>
    <w:p>
      <w:r>
        <w:rPr>
          <w:b/>
          <w:sz w:val="21"/>
        </w:rPr>
        <w:t>HCP: Zubin Grierson, MD, Marbury Neurological Care Center, Tucson, AZ (RSM)</w:t>
      </w:r>
    </w:p>
    <w:p>
      <w:r>
        <w:rPr>
          <w:sz w:val="21"/>
        </w:rPr>
      </w:r>
    </w:p>
    <w:p>
      <w:r>
        <w:rPr>
          <w:sz w:val="21"/>
        </w:rPr>
        <w:t>A short conversation by the scheduling desk, mostly logistics.</w:t>
      </w:r>
    </w:p>
    <w:p>
      <w:r>
        <w:rPr>
          <w:sz w:val="21"/>
        </w:rPr>
      </w:r>
    </w:p>
    <w:p>
      <w:r>
        <w:rPr>
          <w:sz w:val="21"/>
        </w:rPr>
        <w:t>Titration scheduling is handled by nursing staff, which the practice finds workable.</w:t>
      </w:r>
    </w:p>
    <w:p>
      <w:r>
        <w:rPr>
          <w:sz w:val="21"/>
        </w:rPr>
      </w:r>
    </w:p>
    <w:p>
      <w:r>
        <w:rPr>
          <w:sz w:val="21"/>
        </w:rPr>
        <w:t>Referenced a guideline update discussed at journal club in passing.</w:t>
      </w:r>
    </w:p>
    <w:p>
      <w:r>
        <w:rPr>
          <w:sz w:val="21"/>
        </w:rPr>
      </w:r>
    </w:p>
    <w:p>
      <w:r>
        <w:rPr>
          <w:sz w:val="21"/>
        </w:rPr>
        <w:t>Nothing actionable this visit this time. Asked about safety and confirmed nothing to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