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May 15, 2021   |   From: Sam Becker, Marcus Obeng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Kiara Prendergast, MD, Saltmarsh Neurological Care Center, Charleston, SC (AR)</w:t>
      </w:r>
    </w:p>
    <w:p>
      <w:r>
        <w:rPr>
          <w:sz w:val="21"/>
        </w:rPr>
        <w:t>&gt; An unhurried visit in the workroom; the schedule was tight.</w:t>
      </w:r>
    </w:p>
    <w:p>
      <w:r>
        <w:rPr>
          <w:sz w:val="21"/>
        </w:rPr>
        <w:t>&gt; Most of discussion was about phone triage line, which has not settled.</w:t>
      </w:r>
    </w:p>
    <w:p>
      <w:r>
        <w:rPr>
          <w:sz w:val="21"/>
        </w:rPr>
        <w:t>&gt; Closed there — nothing actionable this visit.</w:t>
      </w:r>
    </w:p>
    <w:p>
      <w:r>
        <w:rPr>
          <w:sz w:val="21"/>
        </w:rPr>
      </w:r>
    </w:p>
    <w:p>
      <w:r>
        <w:rPr>
          <w:b/>
          <w:sz w:val="21"/>
        </w:rPr>
        <w:t>Delphine Kirkpatrick, MD, Copperfield Neurology Institute, Mobile, AL (RSM)</w:t>
      </w:r>
    </w:p>
    <w:p>
      <w:r>
        <w:rPr>
          <w:sz w:val="21"/>
        </w:rPr>
        <w:t>&gt; A clipped meeting at nurses' station, first one this quarter.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  <w:t>&gt; Described a preference for slower titration in general, unrelated to any particular pt.</w:t>
      </w:r>
    </w:p>
    <w:p>
      <w:r>
        <w:rPr>
          <w:sz w:val="21"/>
        </w:rPr>
        <w:t>&gt; Closed there — nothing actionable this visit.</w:t>
      </w:r>
    </w:p>
    <w:p>
      <w:r>
        <w:rPr>
          <w:sz w:val="21"/>
        </w:rPr>
      </w:r>
    </w:p>
    <w:p>
      <w:r>
        <w:rPr>
          <w:b/>
          <w:sz w:val="21"/>
        </w:rPr>
        <w:t>Alastair Harkness, MD, Quarry Hill Epilepsy Center, Scranton, PA (RSM)</w:t>
      </w:r>
    </w:p>
    <w:p>
      <w:r>
        <w:rPr>
          <w:sz w:val="21"/>
        </w:rPr>
        <w:t>&gt; A full conversation in reading room, mostly logistics.</w:t>
      </w:r>
    </w:p>
    <w:p>
      <w:r>
        <w:rPr>
          <w:sz w:val="21"/>
        </w:rPr>
        <w:t>&gt; Described how refractory group is triaged now compared with before.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Rohan Ravenscroft, MD, Fox Hollow Neurology Partners, Omaha, NE (RSM)</w:t>
      </w:r>
    </w:p>
    <w:p>
      <w:r>
        <w:rPr>
          <w:sz w:val="21"/>
        </w:rPr>
        <w:t>&gt; A twenty-minute conversation at nurses' station, mostly logistics.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Benefit verification is the step that most often delays start here.</w:t>
      </w:r>
    </w:p>
    <w:p>
      <w:r>
        <w:rPr>
          <w:sz w:val="21"/>
        </w:rPr>
        <w:t>&gt; Asked whether I had seen case series someone forwarded;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Nikolai Underhill, MD, Willowmere Neuroscience Center, Bakersfield, CA (RSM)</w:t>
      </w:r>
    </w:p>
    <w:p>
      <w:r>
        <w:rPr>
          <w:sz w:val="21"/>
        </w:rPr>
        <w:t>&gt; Stopped by in reading room for a twenty-minute conversation.</w:t>
      </w:r>
    </w:p>
    <w:p>
      <w:r>
        <w:rPr>
          <w:sz w:val="21"/>
        </w:rPr>
        <w:t>&gt; Talked through the refractory group in general terms, without any specific case.</w:t>
      </w:r>
    </w:p>
    <w:p>
      <w:r>
        <w:rPr>
          <w:sz w:val="21"/>
        </w:rPr>
        <w:t>&gt; Clinic throughput looks better than last year since summer, which shapes how much time there is for anything else.</w:t>
      </w:r>
    </w:p>
    <w:p>
      <w:r>
        <w:rPr>
          <w:sz w:val="21"/>
        </w:rPr>
        <w:t>&gt; Referenced session summary from colleague in passing.</w:t>
      </w:r>
    </w:p>
    <w:p>
      <w:r>
        <w:rPr>
          <w:sz w:val="21"/>
        </w:rPr>
      </w:r>
    </w:p>
    <w:p>
      <w:r>
        <w:rPr>
          <w:b/>
          <w:sz w:val="21"/>
        </w:rPr>
        <w:t>Viraj Corliss, MD, Lakeshore Neurological Care Center, Lexington, KY (AR)</w:t>
      </w:r>
    </w:p>
    <w:p>
      <w:r>
        <w:rPr>
          <w:sz w:val="21"/>
        </w:rPr>
        <w:t>&gt; An unhurried meeting over quick coffee, first one this quarter.</w:t>
      </w:r>
    </w:p>
    <w:p>
      <w:r>
        <w:rPr>
          <w:sz w:val="21"/>
        </w:rPr>
        <w:t>&gt; The new-pt backlog keeps slipping since summer, which shapes how much time there is for anything else.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Spent some time on newly referred patients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Tadeo Eastmond, MD, Sable Creek Medical Group, Provo, UT (RSM)</w:t>
      </w:r>
    </w:p>
    <w:p>
      <w:r>
        <w:rPr>
          <w:sz w:val="21"/>
        </w:rPr>
        <w:t>&gt; A productive conversation in the reading room, mostly logistics.</w:t>
      </w:r>
    </w:p>
    <w:p>
      <w:r>
        <w:rPr>
          <w:sz w:val="21"/>
        </w:rPr>
        <w:t>&gt; Onboarding two medical assistants is current preoccupation here.</w:t>
      </w:r>
    </w:p>
    <w:p>
      <w:r>
        <w:rPr>
          <w:sz w:val="21"/>
        </w:rPr>
        <w:t>&gt; Asked whether I would be at meeting later this year.</w:t>
      </w:r>
    </w:p>
    <w:p>
      <w:r>
        <w:rPr>
          <w:sz w:val="21"/>
        </w:rPr>
        <w:t>&gt; Closed there — no specific request.</w:t>
      </w:r>
    </w:p>
    <w:p>
      <w:r>
        <w:rPr>
          <w:sz w:val="21"/>
        </w:rPr>
        <w:t>&gt; Formulary placement was only product-adjacent topic, and only in general terms.</w:t>
      </w:r>
    </w:p>
    <w:p>
      <w:r>
        <w:rPr>
          <w:sz w:val="21"/>
        </w:rPr>
      </w:r>
    </w:p>
    <w:p>
      <w:r>
        <w:rPr>
          <w:b/>
          <w:sz w:val="21"/>
        </w:rPr>
        <w:t>Imani Okafor, MD, Smoky Ridge Medical Center, Knoxville, TN (RSM)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The practice lost epilepsy fellow adn has not backfilled, so referral queue keeps slipping.</w:t>
      </w:r>
    </w:p>
    <w:p>
      <w:r>
        <w:rPr>
          <w:sz w:val="21"/>
        </w:rPr>
        <w:t>&gt; Benefit verification is teh step that most often delays a start here.</w:t>
      </w:r>
    </w:p>
    <w:p>
      <w:r>
        <w:rPr>
          <w:sz w:val="21"/>
        </w:rPr>
      </w:r>
    </w:p>
    <w:p>
      <w:r>
        <w:rPr>
          <w:b/>
          <w:sz w:val="21"/>
        </w:rPr>
        <w:t>Fabian Brannigan, MD, Cedar Ridge Regional Epilepsy Program, Reno, NV (RSM)</w:t>
      </w:r>
    </w:p>
    <w:p>
      <w:r>
        <w:rPr>
          <w:sz w:val="21"/>
        </w:rPr>
        <w:t>&gt; Titration scheduling is handled by nursing staff, which practice finds workable.</w:t>
      </w:r>
    </w:p>
    <w:p>
      <w:r>
        <w:rPr>
          <w:sz w:val="21"/>
        </w:rPr>
        <w:t>&gt; Asked whether I had seen a guideline update discussed at journal club; I had not, and offered nothing in return.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Noted that formulary questions remains the slowest step and that this is not specific to any one product.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</w:r>
    </w:p>
    <w:p>
      <w:r>
        <w:rPr>
          <w:b/>
          <w:sz w:val="21"/>
        </w:rPr>
        <w:t>Josefina Pemberton, MD, Sable Creek Medical Group, Waco, TX (RSM)</w:t>
      </w:r>
    </w:p>
    <w:p>
      <w:r>
        <w:rPr>
          <w:sz w:val="21"/>
        </w:rPr>
        <w:t>&gt; A twenty-minute visit at nurses' station; schedule was tight.</w:t>
      </w:r>
    </w:p>
    <w:p>
      <w:r>
        <w:rPr>
          <w:sz w:val="21"/>
        </w:rPr>
        <w:t>&gt; Left it at that, wtih call later this month to be scheduled.</w:t>
      </w:r>
    </w:p>
    <w:p>
      <w:r>
        <w:rPr>
          <w:sz w:val="21"/>
        </w:rPr>
        <w:t>&gt; Talked through long-standing patients in general terms, without any specific case.</w:t>
      </w:r>
    </w:p>
    <w:p>
      <w:r>
        <w:rPr>
          <w:sz w:val="21"/>
        </w:rPr>
      </w:r>
    </w:p>
    <w:p>
      <w:r>
        <w:rPr>
          <w:b/>
          <w:sz w:val="21"/>
        </w:rPr>
        <w:t>Silvio Inverness, MD, Alder Point Neurology Associates, Madison, WI (RSM)</w:t>
      </w:r>
    </w:p>
    <w:p>
      <w:r>
        <w:rPr>
          <w:sz w:val="21"/>
        </w:rPr>
        <w:t>&gt; No specific request this time. Asked about safety and confirmed nothing to report.</w:t>
      </w:r>
    </w:p>
    <w:p>
      <w:r>
        <w:rPr>
          <w:sz w:val="21"/>
        </w:rPr>
        <w:t>&gt; Formulary questions varies by payer, which came up as a general frustration.</w:t>
      </w:r>
    </w:p>
    <w:p>
      <w:r>
        <w:rPr>
          <w:sz w:val="21"/>
        </w:rPr>
        <w:t>&gt; Onboarding front-desk coordinator is current preoccupation here.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  <w:t>&gt; Talked through long-standing pts in general terms, without any specific case.</w:t>
      </w:r>
    </w:p>
    <w:p>
      <w:r>
        <w:rPr>
          <w:sz w:val="21"/>
        </w:rPr>
      </w:r>
    </w:p>
    <w:p>
      <w:r>
        <w:rPr>
          <w:b/>
          <w:sz w:val="21"/>
        </w:rPr>
        <w:t>Bettina Marchetti, MD, Quarry Hill Epilepsy Center, Worcester, MA (RSM)</w:t>
      </w:r>
    </w:p>
    <w:p>
      <w:r>
        <w:rPr>
          <w:sz w:val="21"/>
        </w:rPr>
        <w:t>&gt; The referral intake process changed again last month, and that took up the first part of the convo.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The composition of the pediatric-to-adult transfers has shifted over the last year or two.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