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13, 2021   |   From: Priya Menon,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Tobias Rusnak, MD, Sable Creek Medical Group, Akron, OH (AR)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Noted that formulary questions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Mairead Rusnak, MD, Foxglove Health Neurology, Portland, ME (AR)</w:t>
      </w:r>
    </w:p>
    <w:p>
      <w:r>
        <w:rPr>
          <w:sz w:val="21"/>
        </w:rPr>
        <w:t>&gt; A rushed conversation in the shared office, mostly logistics.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Noted that the appeals process is handled by one person here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Lachlan Dunmore, MD, Sandhill Neuroscience Center, Reno, NV (RSM)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Agreed to reconnect at the next visit; no product discussion.</w:t>
      </w:r>
    </w:p>
    <w:p>
      <w:r>
        <w:rPr>
          <w:sz w:val="21"/>
        </w:rPr>
        <w:t>&gt; Most of the discussion was about the referral intake process, which has not settled.</w:t>
      </w:r>
    </w:p>
    <w:p>
      <w:r>
        <w:rPr>
          <w:sz w:val="21"/>
        </w:rPr>
      </w:r>
    </w:p>
    <w:p>
      <w:r>
        <w:rPr>
          <w:b/>
          <w:sz w:val="21"/>
        </w:rPr>
        <w:t>Gemma Barrowman, MD, Ember Lake Medical Group, Santa Fe, NM (RSM)</w:t>
      </w:r>
    </w:p>
    <w:p>
      <w:r>
        <w:rPr>
          <w:sz w:val="21"/>
        </w:rPr>
        <w:t>&gt; A brief visit in the conference room; the schedule was tight.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Bastian Grierson, MD, Copperfield Neurology Institute, Trenton, NJ (RSM)</w:t>
      </w:r>
    </w:p>
    <w:p>
      <w:r>
        <w:rPr>
          <w:sz w:val="21"/>
        </w:rPr>
        <w:t>&gt; The referral intake process went live without much warning, and that took up the first part of the conversation.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  <w:t>&gt; Coverage paperwork has improved somewhat,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Most of the discussion was about the referral intake process, which went live without much warning.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Rasmus Ashgrove, MD, Northgate Neurology Partners, Waco, TX (RSM)</w:t>
      </w:r>
    </w:p>
    <w:p>
      <w:r>
        <w:rPr>
          <w:sz w:val="21"/>
        </w:rPr>
        <w:t>&gt; A compressed visit in the conference room; the schedule was tight.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Agreed to reconnect at a call later this month; nothing actionable this visit.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Ulrike Wetherby, MD, Juniper Flats Neurology Partners, Fayetteville, NC (RSM)</w:t>
      </w:r>
    </w:p>
    <w:p>
      <w:r>
        <w:rPr>
          <w:sz w:val="21"/>
        </w:rPr>
        <w:t>&gt; A half-hour visit in the back office; the schedule was tight.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